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53737" w:rsidR="00F1274F" w:rsidP="0802F626" w:rsidRDefault="00F1274F" w14:paraId="7D8CC3FC" w14:textId="7C6A2CE5">
      <w:pPr>
        <w:rPr>
          <w:rFonts w:ascii="Calibri" w:hAnsi="Calibri" w:cs="Calibri"/>
          <w:b w:val="1"/>
          <w:bCs w:val="1"/>
          <w:u w:val="single"/>
        </w:rPr>
      </w:pPr>
      <w:r w:rsidRPr="0802F626" w:rsidR="3905E05D">
        <w:rPr>
          <w:rFonts w:ascii="Calibri" w:hAnsi="Calibri" w:cs="Calibri"/>
          <w:b w:val="1"/>
          <w:bCs w:val="1"/>
          <w:u w:val="single"/>
        </w:rPr>
        <w:t xml:space="preserve">MLI Modifications: </w:t>
      </w:r>
      <w:r w:rsidRPr="0802F626" w:rsidR="326C0F29">
        <w:rPr>
          <w:rFonts w:ascii="Calibri" w:hAnsi="Calibri" w:cs="Calibri"/>
          <w:b w:val="1"/>
          <w:bCs w:val="1"/>
          <w:u w:val="single"/>
        </w:rPr>
        <w:t>Denmark-</w:t>
      </w:r>
      <w:r w:rsidRPr="0802F626" w:rsidR="3905E05D">
        <w:rPr>
          <w:rFonts w:ascii="Calibri" w:hAnsi="Calibri" w:cs="Calibri"/>
          <w:b w:val="1"/>
          <w:bCs w:val="1"/>
          <w:u w:val="single"/>
        </w:rPr>
        <w:t>Kenya</w:t>
      </w:r>
    </w:p>
    <w:p w:rsidRPr="00153737" w:rsidR="00F1274F" w:rsidP="00F1274F" w:rsidRDefault="00F1274F" w14:paraId="1C47A0E5" w14:textId="05ECD6CE">
      <w:pPr>
        <w:rPr>
          <w:rFonts w:ascii="Calibri" w:hAnsi="Calibri" w:cs="Calibri"/>
        </w:rPr>
      </w:pPr>
      <w:r w:rsidRPr="00153737">
        <w:rPr>
          <w:rFonts w:ascii="Calibri" w:hAnsi="Calibri" w:cs="Calibri"/>
          <w:i/>
          <w:iCs/>
        </w:rPr>
        <w:t>Editor’s Note: This summary is based on the MLI positions submitted to the Depositary upon the deposit of the ratification instruments by Denmark and Kenya, and does not constitute business, legal, tax, or other professional advice or services. It is intended only to provide a general guide</w:t>
      </w:r>
      <w:r w:rsidRPr="00153737">
        <w:rPr>
          <w:rFonts w:ascii="Calibri" w:hAnsi="Calibri" w:cs="Calibri"/>
        </w:rPr>
        <w:t xml:space="preserve">. </w:t>
      </w:r>
      <w:r w:rsidRPr="00153737">
        <w:rPr>
          <w:rFonts w:ascii="Calibri" w:hAnsi="Calibri" w:cs="Calibri"/>
          <w:i/>
          <w:iCs/>
        </w:rPr>
        <w:t xml:space="preserve">In applying the MLI provisions to this treaty, researchers should ensure they review other relevant MLI sources. Please see the Bloomberg Tax </w:t>
      </w:r>
      <w:hyperlink w:tgtFrame="_blank" w:history="1" r:id="rId5">
        <w:r w:rsidRPr="00153737">
          <w:rPr>
            <w:rStyle w:val="Hyperlink"/>
            <w:rFonts w:ascii="Calibri" w:hAnsi="Calibri" w:cs="Calibri"/>
            <w:i/>
            <w:iCs/>
          </w:rPr>
          <w:t>MLI Watch</w:t>
        </w:r>
      </w:hyperlink>
      <w:r w:rsidRPr="00153737">
        <w:rPr>
          <w:rFonts w:ascii="Calibri" w:hAnsi="Calibri" w:cs="Calibri"/>
          <w:i/>
          <w:iCs/>
        </w:rPr>
        <w:t xml:space="preserve"> page for further research. </w:t>
      </w:r>
      <w:r w:rsidRPr="00153737">
        <w:rPr>
          <w:rFonts w:ascii="Calibri" w:hAnsi="Calibri" w:cs="Calibri"/>
        </w:rPr>
        <w:t> </w:t>
      </w:r>
    </w:p>
    <w:p w:rsidRPr="00153737" w:rsidR="00F1274F" w:rsidP="00F1274F" w:rsidRDefault="00F1274F" w14:paraId="02F43EE5" w14:textId="4A2D231D">
      <w:pPr>
        <w:rPr>
          <w:rFonts w:ascii="Calibri" w:hAnsi="Calibri" w:cs="Calibri"/>
        </w:rPr>
      </w:pPr>
      <w:r w:rsidRPr="00153737">
        <w:rPr>
          <w:rFonts w:ascii="Calibri" w:hAnsi="Calibri" w:cs="Calibri"/>
          <w:b/>
          <w:bCs/>
        </w:rPr>
        <w:t>Date this Convention is Modified by the MLI (Enters into Force):</w:t>
      </w:r>
      <w:r w:rsidRPr="00153737">
        <w:rPr>
          <w:rFonts w:ascii="Calibri" w:hAnsi="Calibri" w:cs="Calibri"/>
        </w:rPr>
        <w:t xml:space="preserve"> May 1, 2025 </w:t>
      </w:r>
    </w:p>
    <w:p w:rsidRPr="00153737" w:rsidR="00F1274F" w:rsidP="00F1274F" w:rsidRDefault="00F1274F" w14:paraId="6F1D9887" w14:textId="5FA3F64F">
      <w:pPr>
        <w:rPr>
          <w:rFonts w:ascii="Calibri" w:hAnsi="Calibri" w:cs="Calibri"/>
        </w:rPr>
      </w:pPr>
      <w:r w:rsidRPr="00153737">
        <w:rPr>
          <w:rFonts w:ascii="Calibri" w:hAnsi="Calibri" w:cs="Calibri"/>
          <w:b/>
          <w:bCs/>
        </w:rPr>
        <w:t xml:space="preserve">MLI instrument of ratification deposited (Denmark): </w:t>
      </w:r>
      <w:r w:rsidRPr="00153737">
        <w:rPr>
          <w:rFonts w:ascii="Calibri" w:hAnsi="Calibri" w:cs="Calibri"/>
        </w:rPr>
        <w:t>September 30, 2019</w:t>
      </w:r>
    </w:p>
    <w:p w:rsidRPr="00153737" w:rsidR="00F1274F" w:rsidP="00F1274F" w:rsidRDefault="00F1274F" w14:paraId="5D715BDE" w14:textId="77777777">
      <w:pPr>
        <w:rPr>
          <w:rFonts w:ascii="Calibri" w:hAnsi="Calibri" w:cs="Calibri"/>
        </w:rPr>
      </w:pPr>
      <w:r w:rsidRPr="00153737">
        <w:rPr>
          <w:rFonts w:ascii="Calibri" w:hAnsi="Calibri" w:cs="Calibri"/>
          <w:b/>
          <w:bCs/>
        </w:rPr>
        <w:t xml:space="preserve">MLI instrument of ratification deposited (Kenya): </w:t>
      </w:r>
      <w:r w:rsidRPr="00153737">
        <w:rPr>
          <w:rFonts w:ascii="Calibri" w:hAnsi="Calibri" w:cs="Calibri"/>
        </w:rPr>
        <w:t>January 8, 2025</w:t>
      </w:r>
    </w:p>
    <w:p w:rsidRPr="00153737" w:rsidR="00F1274F" w:rsidP="00F1274F" w:rsidRDefault="00F1274F" w14:paraId="60DE48E9" w14:textId="58835A59">
      <w:pPr>
        <w:rPr>
          <w:rFonts w:ascii="Calibri" w:hAnsi="Calibri" w:cs="Calibri"/>
        </w:rPr>
      </w:pPr>
      <w:r w:rsidRPr="00153737">
        <w:rPr>
          <w:rFonts w:ascii="Calibri" w:hAnsi="Calibri" w:cs="Calibri"/>
          <w:b/>
          <w:bCs/>
        </w:rPr>
        <w:t>MLI effective date, withholding taxes (Denmark and Kenya):</w:t>
      </w:r>
      <w:r w:rsidRPr="00153737">
        <w:rPr>
          <w:rFonts w:ascii="Calibri" w:hAnsi="Calibri" w:cs="Calibri"/>
        </w:rPr>
        <w:t xml:space="preserve"> January 1, 2026</w:t>
      </w:r>
    </w:p>
    <w:p w:rsidRPr="00F1274F" w:rsidR="00F1274F" w:rsidP="00F1274F" w:rsidRDefault="00F1274F" w14:paraId="4F118D95" w14:textId="7325FE39">
      <w:pPr>
        <w:rPr>
          <w:rFonts w:ascii="Calibri" w:hAnsi="Calibri" w:cs="Calibri"/>
        </w:rPr>
      </w:pPr>
      <w:r w:rsidRPr="00F1274F">
        <w:rPr>
          <w:rFonts w:ascii="Calibri" w:hAnsi="Calibri" w:cs="Calibri"/>
          <w:b/>
          <w:bCs/>
        </w:rPr>
        <w:t>MLI effective date, all other taxes (</w:t>
      </w:r>
      <w:r w:rsidRPr="00153737">
        <w:rPr>
          <w:rFonts w:ascii="Calibri" w:hAnsi="Calibri" w:cs="Calibri"/>
          <w:b/>
          <w:bCs/>
        </w:rPr>
        <w:t>Denmark</w:t>
      </w:r>
      <w:r w:rsidRPr="00F1274F">
        <w:rPr>
          <w:rFonts w:ascii="Calibri" w:hAnsi="Calibri" w:cs="Calibri"/>
          <w:b/>
          <w:bCs/>
        </w:rPr>
        <w:t>):</w:t>
      </w:r>
      <w:r w:rsidRPr="00F1274F">
        <w:rPr>
          <w:rFonts w:ascii="Calibri" w:hAnsi="Calibri" w:cs="Calibri"/>
        </w:rPr>
        <w:t> </w:t>
      </w:r>
      <w:r w:rsidRPr="00153737">
        <w:rPr>
          <w:rFonts w:ascii="Calibri" w:hAnsi="Calibri" w:cs="Calibri"/>
        </w:rPr>
        <w:t>January</w:t>
      </w:r>
      <w:r w:rsidRPr="00F1274F">
        <w:rPr>
          <w:rFonts w:ascii="Calibri" w:hAnsi="Calibri" w:cs="Calibri"/>
        </w:rPr>
        <w:t xml:space="preserve"> 1, 202</w:t>
      </w:r>
      <w:r w:rsidRPr="00153737">
        <w:rPr>
          <w:rFonts w:ascii="Calibri" w:hAnsi="Calibri" w:cs="Calibri"/>
        </w:rPr>
        <w:t>6</w:t>
      </w:r>
      <w:r w:rsidRPr="00F1274F">
        <w:rPr>
          <w:rFonts w:ascii="Calibri" w:hAnsi="Calibri" w:cs="Calibri"/>
        </w:rPr>
        <w:t> </w:t>
      </w:r>
    </w:p>
    <w:p w:rsidRPr="00F1274F" w:rsidR="00F1274F" w:rsidP="00F1274F" w:rsidRDefault="00F1274F" w14:paraId="763A4D84" w14:textId="2C0D1445">
      <w:pPr>
        <w:rPr>
          <w:rFonts w:ascii="Calibri" w:hAnsi="Calibri" w:cs="Calibri"/>
        </w:rPr>
      </w:pPr>
      <w:r w:rsidRPr="00F1274F">
        <w:rPr>
          <w:rFonts w:ascii="Calibri" w:hAnsi="Calibri" w:cs="Calibri"/>
          <w:b/>
          <w:bCs/>
        </w:rPr>
        <w:t>MLI effective date, all other taxes (Kenya):</w:t>
      </w:r>
      <w:r w:rsidRPr="00F1274F">
        <w:rPr>
          <w:rFonts w:ascii="Calibri" w:hAnsi="Calibri" w:cs="Calibri"/>
        </w:rPr>
        <w:t> November 1, 2025 </w:t>
      </w:r>
    </w:p>
    <w:p w:rsidRPr="00153737" w:rsidR="00F1274F" w:rsidP="00F1274F" w:rsidRDefault="00F1274F" w14:paraId="29D8D23C" w14:textId="77777777">
      <w:pPr>
        <w:rPr>
          <w:rFonts w:ascii="Calibri" w:hAnsi="Calibri" w:cs="Calibri"/>
          <w:b/>
          <w:bCs/>
        </w:rPr>
      </w:pPr>
    </w:p>
    <w:p w:rsidRPr="00F1274F" w:rsidR="00F1274F" w:rsidP="00F1274F" w:rsidRDefault="00F1274F" w14:paraId="3C80D10B" w14:textId="6BE0CB01">
      <w:pPr>
        <w:rPr>
          <w:rFonts w:ascii="Calibri" w:hAnsi="Calibri" w:cs="Calibri"/>
          <w:b/>
          <w:bCs/>
        </w:rPr>
      </w:pPr>
      <w:r w:rsidRPr="00F1274F">
        <w:rPr>
          <w:rFonts w:ascii="Calibri" w:hAnsi="Calibri" w:cs="Calibri"/>
          <w:b/>
          <w:bCs/>
        </w:rPr>
        <w:t>Transparent Entities (MLI Article 3)</w:t>
      </w:r>
    </w:p>
    <w:p w:rsidR="00F1274F" w:rsidP="00F1274F" w:rsidRDefault="00F1274F" w14:paraId="34E07860" w14:textId="6C385FF1">
      <w:pPr>
        <w:rPr>
          <w:rFonts w:ascii="Calibri" w:hAnsi="Calibri" w:cs="Calibri"/>
        </w:rPr>
      </w:pPr>
      <w:r w:rsidRPr="00F1274F">
        <w:rPr>
          <w:rFonts w:ascii="Calibri" w:hAnsi="Calibri" w:cs="Calibri"/>
        </w:rPr>
        <w:t xml:space="preserve">According to MLI Art. 3(6), the provision on fiscally transparent entities in MLI Art 3(1) applies and supersedes the provisions of this Agreement to the extent of incompatibility (i.e. MLI Art. 3(1) is added to this </w:t>
      </w:r>
      <w:r w:rsidRPr="00153737">
        <w:rPr>
          <w:rFonts w:ascii="Calibri" w:hAnsi="Calibri" w:cs="Calibri"/>
        </w:rPr>
        <w:t>Convention</w:t>
      </w:r>
      <w:r w:rsidRPr="00F1274F">
        <w:rPr>
          <w:rFonts w:ascii="Calibri" w:hAnsi="Calibri" w:cs="Calibri"/>
        </w:rPr>
        <w:t xml:space="preserve">). In addition, MLI Art. 3(2), which modifies the application of the provisions related to methods for the elimination of double taxation, applies to this </w:t>
      </w:r>
      <w:r w:rsidRPr="00153737">
        <w:rPr>
          <w:rFonts w:ascii="Calibri" w:hAnsi="Calibri" w:cs="Calibri"/>
        </w:rPr>
        <w:t>Convention</w:t>
      </w:r>
      <w:r w:rsidRPr="00F1274F">
        <w:rPr>
          <w:rFonts w:ascii="Calibri" w:hAnsi="Calibri" w:cs="Calibri"/>
        </w:rPr>
        <w:t>.</w:t>
      </w:r>
    </w:p>
    <w:p w:rsidRPr="003B3A65" w:rsidR="003B3A65" w:rsidP="00F1274F" w:rsidRDefault="003B3A65" w14:paraId="64596620" w14:textId="62A0FCC4">
      <w:pPr>
        <w:rPr>
          <w:rFonts w:ascii="Calibri" w:hAnsi="Calibri" w:cs="Calibri"/>
          <w:b/>
          <w:bCs/>
        </w:rPr>
      </w:pPr>
      <w:r w:rsidRPr="003B3A65">
        <w:rPr>
          <w:rFonts w:ascii="Calibri" w:hAnsi="Calibri" w:cs="Calibri"/>
          <w:b/>
          <w:bCs/>
        </w:rPr>
        <w:t>Dual Resident Entities (MLI Article 4)</w:t>
      </w:r>
    </w:p>
    <w:p w:rsidRPr="00F1274F" w:rsidR="003B3A65" w:rsidP="00F1274F" w:rsidRDefault="003B3A65" w14:paraId="107D386F" w14:textId="4D6C14B1">
      <w:pPr>
        <w:rPr>
          <w:rFonts w:ascii="Calibri" w:hAnsi="Calibri" w:cs="Calibri"/>
          <w:b/>
          <w:bCs/>
        </w:rPr>
      </w:pPr>
      <w:r>
        <w:rPr>
          <w:rStyle w:val="normaltextrun"/>
          <w:rFonts w:ascii="Calibri" w:hAnsi="Calibri" w:cs="Calibri"/>
          <w:color w:val="000000"/>
          <w:bdr w:val="none" w:color="auto" w:sz="0" w:space="0" w:frame="1"/>
        </w:rPr>
        <w:t>According to MLI Art. 4(2), the provision on dual resident entities in MLI Art. 4(1) replaces Art. 4(3) of this Convention. </w:t>
      </w:r>
    </w:p>
    <w:p w:rsidRPr="00153737" w:rsidR="00153737" w:rsidP="00153737" w:rsidRDefault="00153737" w14:paraId="514F88FB" w14:textId="77777777">
      <w:pPr>
        <w:rPr>
          <w:rFonts w:ascii="Calibri" w:hAnsi="Calibri" w:cs="Calibri"/>
          <w:b/>
          <w:bCs/>
        </w:rPr>
      </w:pPr>
      <w:r w:rsidRPr="00153737">
        <w:rPr>
          <w:rFonts w:ascii="Calibri" w:hAnsi="Calibri" w:cs="Calibri"/>
          <w:b/>
          <w:bCs/>
        </w:rPr>
        <w:t>Purpose of a Covered Tax Agreement (MLI Article 6)</w:t>
      </w:r>
    </w:p>
    <w:p w:rsidRPr="00153737" w:rsidR="00153737" w:rsidP="00153737" w:rsidRDefault="00153737" w14:paraId="35203158" w14:textId="7E6116EE">
      <w:pPr>
        <w:rPr>
          <w:rFonts w:ascii="Calibri" w:hAnsi="Calibri" w:cs="Calibri"/>
        </w:rPr>
      </w:pPr>
      <w:r w:rsidRPr="00153737">
        <w:rPr>
          <w:rStyle w:val="normaltextrun"/>
          <w:rFonts w:ascii="Calibri" w:hAnsi="Calibri" w:cs="Calibri"/>
          <w:i/>
          <w:iCs/>
          <w:shd w:val="clear" w:color="auto" w:fill="FFFFFF"/>
        </w:rPr>
        <w:t>[Note: The OECD MLI Matching Database has indicated a possible notification mismatch which requires confirmation as to whether both jurisdictions have identified the same preamble language. The following discussion assumes there is no mismatch, i.e., that both jurisdictions have notified the same preamble language under MLI Art. 6(5). If there is a mismatch, the text of MLI Art. 6(1) is added to the existing preamble language.]</w:t>
      </w:r>
      <w:r w:rsidRPr="00153737">
        <w:rPr>
          <w:rStyle w:val="eop"/>
          <w:rFonts w:ascii="Calibri" w:hAnsi="Calibri" w:cs="Calibri"/>
          <w:shd w:val="clear" w:color="auto" w:fill="FFFFFF"/>
        </w:rPr>
        <w:t> </w:t>
      </w:r>
    </w:p>
    <w:p w:rsidRPr="00153737" w:rsidR="00153737" w:rsidP="00153737" w:rsidRDefault="00153737" w14:paraId="7346F1AD" w14:textId="3F442A86">
      <w:pPr>
        <w:rPr>
          <w:rFonts w:ascii="Calibri" w:hAnsi="Calibri" w:cs="Calibri"/>
        </w:rPr>
      </w:pPr>
      <w:r w:rsidRPr="00153737">
        <w:rPr>
          <w:rFonts w:ascii="Calibri" w:hAnsi="Calibri" w:cs="Calibri"/>
        </w:rPr>
        <w:t xml:space="preserve">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w:t>
      </w:r>
      <w:r>
        <w:rPr>
          <w:rFonts w:ascii="Calibri" w:hAnsi="Calibri" w:cs="Calibri"/>
        </w:rPr>
        <w:t>Convention</w:t>
      </w:r>
      <w:r w:rsidRPr="00153737">
        <w:rPr>
          <w:rFonts w:ascii="Calibri" w:hAnsi="Calibri" w:cs="Calibri"/>
        </w:rPr>
        <w:t xml:space="preserve">.  The optional preamble language of MLI Art. 6(3) does not apply.  </w:t>
      </w:r>
    </w:p>
    <w:p w:rsidRPr="00153737" w:rsidR="00153737" w:rsidP="00153737" w:rsidRDefault="00153737" w14:paraId="03B27AA7" w14:textId="77777777">
      <w:pPr>
        <w:rPr>
          <w:rFonts w:ascii="Calibri" w:hAnsi="Calibri" w:cs="Calibri"/>
          <w:b/>
          <w:bCs/>
        </w:rPr>
      </w:pPr>
      <w:r w:rsidRPr="00153737">
        <w:rPr>
          <w:rFonts w:ascii="Calibri" w:hAnsi="Calibri" w:cs="Calibri"/>
          <w:b/>
          <w:bCs/>
        </w:rPr>
        <w:t>Prevention of Treaty Abuse (MLI Article 7) </w:t>
      </w:r>
    </w:p>
    <w:p w:rsidR="00153737" w:rsidP="00153737" w:rsidRDefault="00153737" w14:paraId="7118156F" w14:textId="534E3D64">
      <w:pPr>
        <w:rPr>
          <w:rFonts w:ascii="Calibri" w:hAnsi="Calibri" w:cs="Calibri"/>
        </w:rPr>
      </w:pPr>
      <w:r w:rsidRPr="00153737">
        <w:rPr>
          <w:rFonts w:ascii="Calibri" w:hAnsi="Calibri" w:cs="Calibri"/>
        </w:rPr>
        <w:t xml:space="preserve">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applies and </w:t>
      </w:r>
      <w:r w:rsidRPr="00153737">
        <w:rPr>
          <w:rFonts w:ascii="Calibri" w:hAnsi="Calibri" w:cs="Calibri"/>
        </w:rPr>
        <w:lastRenderedPageBreak/>
        <w:t xml:space="preserve">supersedes the provisions of this </w:t>
      </w:r>
      <w:r>
        <w:rPr>
          <w:rFonts w:ascii="Calibri" w:hAnsi="Calibri" w:cs="Calibri"/>
        </w:rPr>
        <w:t>Convention t</w:t>
      </w:r>
      <w:r w:rsidRPr="00153737">
        <w:rPr>
          <w:rFonts w:ascii="Calibri" w:hAnsi="Calibri" w:cs="Calibri"/>
        </w:rPr>
        <w:t xml:space="preserve">o the extent of incompatibility (i.e., the PPT provision is added to this </w:t>
      </w:r>
      <w:r>
        <w:rPr>
          <w:rFonts w:ascii="Calibri" w:hAnsi="Calibri" w:cs="Calibri"/>
        </w:rPr>
        <w:t>Convention</w:t>
      </w:r>
      <w:r w:rsidRPr="00153737">
        <w:rPr>
          <w:rFonts w:ascii="Calibri" w:hAnsi="Calibri" w:cs="Calibri"/>
        </w:rPr>
        <w:t xml:space="preserve">).  </w:t>
      </w:r>
      <w:r w:rsidRPr="00EB65FB" w:rsidR="00EB65FB">
        <w:rPr>
          <w:rFonts w:ascii="Calibri" w:hAnsi="Calibri" w:cs="Calibri"/>
        </w:rPr>
        <w:t>In addition, MLI Art. 7(6), the Simplified Limitation on Benefits Provision (S-LOB) provision applies and supersedes the provisions of this Convention to the extent of incompatibility (i.e., the S-LOB provision is added to this Convention).</w:t>
      </w:r>
      <w:r w:rsidRPr="00153737" w:rsidR="00EB65FB">
        <w:rPr>
          <w:rFonts w:ascii="Calibri" w:hAnsi="Calibri" w:cs="Calibri"/>
        </w:rPr>
        <w:t xml:space="preserve"> The</w:t>
      </w:r>
      <w:r w:rsidRPr="00153737">
        <w:rPr>
          <w:rFonts w:ascii="Calibri" w:hAnsi="Calibri" w:cs="Calibri"/>
        </w:rPr>
        <w:t xml:space="preserve"> optional language of MLI Art. 7(4) does not apply. </w:t>
      </w:r>
    </w:p>
    <w:p w:rsidRPr="00584F0C" w:rsidR="00584F0C" w:rsidP="00584F0C" w:rsidRDefault="00584F0C" w14:paraId="27B1F74B" w14:textId="77777777">
      <w:pPr>
        <w:rPr>
          <w:rFonts w:ascii="Calibri" w:hAnsi="Calibri" w:cs="Calibri"/>
        </w:rPr>
      </w:pPr>
      <w:r w:rsidRPr="00584F0C">
        <w:rPr>
          <w:rFonts w:ascii="Calibri" w:hAnsi="Calibri" w:cs="Calibri"/>
          <w:b/>
          <w:bCs/>
        </w:rPr>
        <w:t>Dividend Transfer Transactions (MLI Article 8)</w:t>
      </w:r>
      <w:r w:rsidRPr="00584F0C">
        <w:rPr>
          <w:rFonts w:ascii="Calibri" w:hAnsi="Calibri" w:cs="Calibri"/>
        </w:rPr>
        <w:t> </w:t>
      </w:r>
    </w:p>
    <w:p w:rsidRPr="00584F0C" w:rsidR="00584F0C" w:rsidP="0802F626" w:rsidRDefault="002A30A7" w14:paraId="7168CCFD" w14:textId="53B7F884">
      <w:pPr>
        <w:rPr>
          <w:rFonts w:ascii="Calibri" w:hAnsi="Calibri" w:cs="Calibri"/>
          <w:i w:val="1"/>
          <w:iCs w:val="1"/>
        </w:rPr>
      </w:pPr>
      <w:r w:rsidRPr="0802F626" w:rsidR="7EDC8FEC">
        <w:rPr>
          <w:rFonts w:ascii="Calibri" w:hAnsi="Calibri" w:cs="Calibri"/>
          <w:i w:val="1"/>
          <w:iCs w:val="1"/>
        </w:rPr>
        <w:t>[</w:t>
      </w:r>
      <w:r w:rsidRPr="0802F626" w:rsidR="07DDBACA">
        <w:rPr>
          <w:rFonts w:ascii="Calibri" w:hAnsi="Calibri" w:cs="Calibri"/>
          <w:i w:val="1"/>
          <w:iCs w:val="1"/>
        </w:rPr>
        <w:t xml:space="preserve">Note: </w:t>
      </w:r>
      <w:r w:rsidRPr="0802F626" w:rsidR="0759FA65">
        <w:rPr>
          <w:rFonts w:ascii="Calibri" w:hAnsi="Calibri" w:eastAsia="Calibri" w:cs="Calibri"/>
          <w:i w:val="1"/>
          <w:iCs w:val="1"/>
          <w:noProof w:val="0"/>
          <w:sz w:val="22"/>
          <w:szCs w:val="22"/>
          <w:lang w:val="en-US"/>
        </w:rPr>
        <w:t xml:space="preserve">Note: The OECD MLI Matching Database has </w:t>
      </w:r>
      <w:r w:rsidRPr="0802F626" w:rsidR="0759FA65">
        <w:rPr>
          <w:rFonts w:ascii="Calibri" w:hAnsi="Calibri" w:eastAsia="Calibri" w:cs="Calibri"/>
          <w:i w:val="1"/>
          <w:iCs w:val="1"/>
          <w:noProof w:val="0"/>
          <w:sz w:val="22"/>
          <w:szCs w:val="22"/>
          <w:lang w:val="en-US"/>
        </w:rPr>
        <w:t>indicated</w:t>
      </w:r>
      <w:r w:rsidRPr="0802F626" w:rsidR="0759FA65">
        <w:rPr>
          <w:rFonts w:ascii="Calibri" w:hAnsi="Calibri" w:eastAsia="Calibri" w:cs="Calibri"/>
          <w:i w:val="1"/>
          <w:iCs w:val="1"/>
          <w:noProof w:val="0"/>
          <w:sz w:val="22"/>
          <w:szCs w:val="22"/>
          <w:lang w:val="en-US"/>
        </w:rPr>
        <w:t xml:space="preserve"> a </w:t>
      </w:r>
      <w:r w:rsidRPr="0802F626" w:rsidR="0759FA65">
        <w:rPr>
          <w:rFonts w:ascii="Calibri" w:hAnsi="Calibri" w:eastAsia="Calibri" w:cs="Calibri"/>
          <w:i w:val="1"/>
          <w:iCs w:val="1"/>
          <w:noProof w:val="0"/>
          <w:sz w:val="22"/>
          <w:szCs w:val="22"/>
          <w:lang w:val="en-US"/>
        </w:rPr>
        <w:t>possible notification</w:t>
      </w:r>
      <w:r w:rsidRPr="0802F626" w:rsidR="0759FA65">
        <w:rPr>
          <w:rFonts w:ascii="Calibri" w:hAnsi="Calibri" w:eastAsia="Calibri" w:cs="Calibri"/>
          <w:i w:val="1"/>
          <w:iCs w:val="1"/>
          <w:noProof w:val="0"/>
          <w:sz w:val="22"/>
          <w:szCs w:val="22"/>
          <w:lang w:val="en-US"/>
        </w:rPr>
        <w:t xml:space="preserve"> mismatch which requires confirmation that both </w:t>
      </w:r>
      <w:r w:rsidRPr="0802F626" w:rsidR="0759FA65">
        <w:rPr>
          <w:rFonts w:ascii="Calibri" w:hAnsi="Calibri" w:eastAsia="Calibri" w:cs="Calibri"/>
          <w:i w:val="1"/>
          <w:iCs w:val="1"/>
          <w:noProof w:val="0"/>
          <w:sz w:val="22"/>
          <w:szCs w:val="22"/>
          <w:lang w:val="en-US"/>
        </w:rPr>
        <w:t>Jurisdictions</w:t>
      </w:r>
      <w:r w:rsidRPr="0802F626" w:rsidR="0759FA65">
        <w:rPr>
          <w:rFonts w:ascii="Calibri" w:hAnsi="Calibri" w:eastAsia="Calibri" w:cs="Calibri"/>
          <w:i w:val="1"/>
          <w:iCs w:val="1"/>
          <w:noProof w:val="0"/>
          <w:sz w:val="22"/>
          <w:szCs w:val="22"/>
          <w:lang w:val="en-US"/>
        </w:rPr>
        <w:t xml:space="preserve"> have notified the same provision under MLI Art. 8(4). Denmark has notified Article</w:t>
      </w:r>
      <w:r w:rsidRPr="0802F626" w:rsidR="0759FA65">
        <w:rPr>
          <w:rFonts w:ascii="Calibri" w:hAnsi="Calibri" w:eastAsia="Calibri" w:cs="Calibri"/>
          <w:i w:val="1"/>
          <w:iCs w:val="1"/>
          <w:noProof w:val="0"/>
          <w:sz w:val="22"/>
          <w:szCs w:val="22"/>
          <w:lang w:val="en-US"/>
        </w:rPr>
        <w:t xml:space="preserve"> 10(2) and Kenya has notified Article</w:t>
      </w:r>
      <w:r w:rsidRPr="0802F626" w:rsidR="0759FA65">
        <w:rPr>
          <w:rFonts w:ascii="Calibri" w:hAnsi="Calibri" w:eastAsia="Calibri" w:cs="Calibri"/>
          <w:i w:val="1"/>
          <w:iCs w:val="1"/>
          <w:noProof w:val="0"/>
          <w:sz w:val="22"/>
          <w:szCs w:val="22"/>
          <w:lang w:val="en-US"/>
        </w:rPr>
        <w:t xml:space="preserve"> </w:t>
      </w:r>
      <w:r w:rsidRPr="0802F626" w:rsidR="0759FA65">
        <w:rPr>
          <w:rFonts w:ascii="Calibri" w:hAnsi="Calibri" w:eastAsia="Calibri" w:cs="Calibri"/>
          <w:i w:val="1"/>
          <w:iCs w:val="1"/>
          <w:noProof w:val="0"/>
          <w:sz w:val="22"/>
          <w:szCs w:val="22"/>
          <w:lang w:val="en-US"/>
        </w:rPr>
        <w:t>10(2)(a)</w:t>
      </w:r>
      <w:r w:rsidRPr="0802F626" w:rsidR="0759FA65">
        <w:rPr>
          <w:rFonts w:ascii="Calibri" w:hAnsi="Calibri" w:eastAsia="Calibri" w:cs="Calibri"/>
          <w:i w:val="1"/>
          <w:iCs w:val="1"/>
          <w:noProof w:val="0"/>
          <w:sz w:val="22"/>
          <w:szCs w:val="22"/>
          <w:lang w:val="en-US"/>
        </w:rPr>
        <w:t xml:space="preserve"> </w:t>
      </w:r>
      <w:r w:rsidRPr="0802F626" w:rsidR="7EDC8FEC">
        <w:rPr>
          <w:rFonts w:ascii="Calibri" w:hAnsi="Calibri" w:cs="Calibri"/>
          <w:i w:val="1"/>
          <w:iCs w:val="1"/>
        </w:rPr>
        <w:t>Convention</w:t>
      </w:r>
      <w:r w:rsidRPr="0802F626" w:rsidR="7EDC8FEC">
        <w:rPr>
          <w:rFonts w:ascii="Calibri" w:hAnsi="Calibri" w:cs="Calibri"/>
          <w:i w:val="1"/>
          <w:iCs w:val="1"/>
        </w:rPr>
        <w:t xml:space="preserve">. The MLI does not make clear whether a technical mismatch caused by one party’s notification of a provision that is included in, but is not coextensive with, a provision named in the other party’s notification should be viewed as a common notification of the lesser included provision.  </w:t>
      </w:r>
      <w:r w:rsidRPr="0802F626" w:rsidR="36F78B05">
        <w:rPr>
          <w:rFonts w:ascii="Calibri" w:hAnsi="Calibri" w:eastAsia="Calibri" w:cs="Calibri"/>
          <w:i w:val="1"/>
          <w:iCs w:val="1"/>
          <w:noProof w:val="0"/>
          <w:sz w:val="22"/>
          <w:szCs w:val="22"/>
          <w:lang w:val="en-US"/>
        </w:rPr>
        <w:t xml:space="preserve"> The following discussion assumes there is no mismatch</w:t>
      </w:r>
      <w:r w:rsidRPr="0802F626" w:rsidR="34F43B37">
        <w:rPr>
          <w:rFonts w:ascii="Calibri" w:hAnsi="Calibri" w:eastAsia="Calibri" w:cs="Calibri"/>
          <w:i w:val="1"/>
          <w:iCs w:val="1"/>
          <w:noProof w:val="0"/>
          <w:sz w:val="22"/>
          <w:szCs w:val="22"/>
          <w:lang w:val="en-US"/>
        </w:rPr>
        <w:t>,</w:t>
      </w:r>
      <w:r w:rsidRPr="0802F626" w:rsidR="34F43B37">
        <w:rPr>
          <w:rStyle w:val="normaltextrun"/>
          <w:rFonts w:ascii="Calibri" w:hAnsi="Calibri" w:cs="Calibri"/>
          <w:i w:val="1"/>
          <w:iCs w:val="1"/>
        </w:rPr>
        <w:t xml:space="preserve"> i.e., that both </w:t>
      </w:r>
      <w:r w:rsidRPr="0802F626" w:rsidR="34F43B37">
        <w:rPr>
          <w:rStyle w:val="normaltextrun"/>
          <w:rFonts w:ascii="Calibri" w:hAnsi="Calibri" w:cs="Calibri"/>
          <w:i w:val="1"/>
          <w:iCs w:val="1"/>
        </w:rPr>
        <w:t>jurisdictions</w:t>
      </w:r>
      <w:r w:rsidRPr="0802F626" w:rsidR="34F43B37">
        <w:rPr>
          <w:rStyle w:val="normaltextrun"/>
          <w:rFonts w:ascii="Calibri" w:hAnsi="Calibri" w:cs="Calibri"/>
          <w:i w:val="1"/>
          <w:iCs w:val="1"/>
        </w:rPr>
        <w:t xml:space="preserve"> have notified the same provision under MLI Art. 8(4)</w:t>
      </w:r>
      <w:r w:rsidRPr="0802F626" w:rsidR="36F78B05">
        <w:rPr>
          <w:rFonts w:ascii="Calibri" w:hAnsi="Calibri" w:eastAsia="Calibri" w:cs="Calibri"/>
          <w:i w:val="1"/>
          <w:iCs w:val="1"/>
          <w:noProof w:val="0"/>
          <w:sz w:val="22"/>
          <w:szCs w:val="22"/>
          <w:lang w:val="en-US"/>
        </w:rPr>
        <w:t>.</w:t>
      </w:r>
      <w:r w:rsidRPr="0802F626" w:rsidR="36F78B05">
        <w:rPr>
          <w:rFonts w:ascii="Calibri" w:hAnsi="Calibri" w:eastAsia="Calibri" w:cs="Calibri"/>
          <w:noProof w:val="0"/>
          <w:sz w:val="22"/>
          <w:szCs w:val="22"/>
          <w:lang w:val="en-US"/>
        </w:rPr>
        <w:t xml:space="preserve"> </w:t>
      </w:r>
      <w:r w:rsidRPr="0802F626" w:rsidR="7EDC8FEC">
        <w:rPr>
          <w:rFonts w:ascii="Calibri" w:hAnsi="Calibri" w:cs="Calibri"/>
          <w:i w:val="1"/>
          <w:iCs w:val="1"/>
        </w:rPr>
        <w:t xml:space="preserve">  If there is a mismatch MLI Art. 8(1) does not apply with respect to </w:t>
      </w:r>
      <w:r w:rsidRPr="0802F626" w:rsidR="5AE5786E">
        <w:rPr>
          <w:rFonts w:ascii="Calibri" w:hAnsi="Calibri" w:cs="Calibri"/>
          <w:i w:val="1"/>
          <w:iCs w:val="1"/>
        </w:rPr>
        <w:t>Article</w:t>
      </w:r>
      <w:r w:rsidRPr="0802F626" w:rsidR="7E095C55">
        <w:rPr>
          <w:rFonts w:ascii="Calibri" w:hAnsi="Calibri" w:cs="Calibri"/>
          <w:i w:val="1"/>
          <w:iCs w:val="1"/>
        </w:rPr>
        <w:t xml:space="preserve"> </w:t>
      </w:r>
      <w:r w:rsidRPr="0802F626" w:rsidR="7EDC8FEC">
        <w:rPr>
          <w:rFonts w:ascii="Calibri" w:hAnsi="Calibri" w:cs="Calibri"/>
          <w:i w:val="1"/>
          <w:iCs w:val="1"/>
        </w:rPr>
        <w:t>10(2) of this Convention.</w:t>
      </w:r>
      <w:r w:rsidRPr="0802F626" w:rsidR="4F19D676">
        <w:rPr>
          <w:rFonts w:ascii="Calibri" w:hAnsi="Calibri" w:cs="Calibri"/>
          <w:i w:val="1"/>
          <w:iCs w:val="1"/>
        </w:rPr>
        <w:t>]</w:t>
      </w:r>
      <w:r w:rsidRPr="0802F626" w:rsidR="7EDC8FEC">
        <w:rPr>
          <w:rFonts w:ascii="Calibri" w:hAnsi="Calibri" w:cs="Calibri"/>
          <w:i w:val="1"/>
          <w:iCs w:val="1"/>
        </w:rPr>
        <w:t> </w:t>
      </w:r>
      <w:r w:rsidRPr="0802F626" w:rsidR="7EDC8FEC">
        <w:rPr>
          <w:rFonts w:ascii="Calibri" w:hAnsi="Calibri" w:cs="Calibri"/>
          <w:i w:val="1"/>
          <w:iCs w:val="1"/>
        </w:rPr>
        <w:t xml:space="preserve"> </w:t>
      </w:r>
    </w:p>
    <w:p w:rsidRPr="00584F0C" w:rsidR="00584F0C" w:rsidP="00584F0C" w:rsidRDefault="00584F0C" w14:paraId="5C8CF075" w14:textId="7CBBD303">
      <w:pPr>
        <w:rPr>
          <w:rFonts w:ascii="Calibri" w:hAnsi="Calibri" w:cs="Calibri"/>
        </w:rPr>
      </w:pPr>
      <w:r w:rsidRPr="00584F0C">
        <w:rPr>
          <w:rFonts w:ascii="Calibri" w:hAnsi="Calibri" w:cs="Calibri"/>
        </w:rPr>
        <w:t xml:space="preserve">According to MLI Art. 8(4), MLI Art. 8(1) applies to Art. 10(2)(a) of this </w:t>
      </w:r>
      <w:r w:rsidR="00ED705F">
        <w:rPr>
          <w:rFonts w:ascii="Calibri" w:hAnsi="Calibri" w:cs="Calibri"/>
        </w:rPr>
        <w:t>Convention</w:t>
      </w:r>
      <w:r w:rsidRPr="00584F0C">
        <w:rPr>
          <w:rFonts w:ascii="Calibri" w:hAnsi="Calibri" w:cs="Calibri"/>
        </w:rPr>
        <w:t>, changing the application of the article without replacing it. </w:t>
      </w:r>
    </w:p>
    <w:p w:rsidRPr="00153737" w:rsidR="00153737" w:rsidP="00153737" w:rsidRDefault="00153737" w14:paraId="43FB2914" w14:textId="77777777">
      <w:pPr>
        <w:rPr>
          <w:rFonts w:ascii="Calibri" w:hAnsi="Calibri" w:cs="Calibri"/>
          <w:b/>
        </w:rPr>
      </w:pPr>
      <w:r w:rsidRPr="00153737">
        <w:rPr>
          <w:rFonts w:ascii="Calibri" w:hAnsi="Calibri" w:cs="Calibri"/>
          <w:b/>
        </w:rPr>
        <w:t>Capital Gains from Alienation of Shares or Interests of Entities Deriving their Value Principally from Immovable Property (MLI Article 9)</w:t>
      </w:r>
    </w:p>
    <w:p w:rsidR="00153737" w:rsidP="00153737" w:rsidRDefault="00153737" w14:paraId="1563B185" w14:textId="1A4DB00E">
      <w:pPr>
        <w:rPr>
          <w:rFonts w:ascii="Calibri" w:hAnsi="Calibri" w:cs="Calibri"/>
        </w:rPr>
      </w:pPr>
      <w:r w:rsidRPr="00153737">
        <w:rPr>
          <w:rFonts w:ascii="Calibri" w:hAnsi="Calibri" w:cs="Calibri"/>
        </w:rPr>
        <w:t xml:space="preserve">According to MLI Art. 9(8), the optional provision of MLI Art. 9(4) that allows gains derived by a resident of one Jurisdiction from the alienation of shares or comparable interests deriving more than 50% of their value from immovable property in the other Jurisdiction at any time during a 365 day period preceding the alienation to be taxed in that other Jurisdiction, applies and supersedes the provisions of this </w:t>
      </w:r>
      <w:r w:rsidR="00877600">
        <w:rPr>
          <w:rFonts w:ascii="Calibri" w:hAnsi="Calibri" w:cs="Calibri"/>
        </w:rPr>
        <w:t>Convention</w:t>
      </w:r>
      <w:r w:rsidRPr="00153737">
        <w:rPr>
          <w:rFonts w:ascii="Calibri" w:hAnsi="Calibri" w:cs="Calibri"/>
        </w:rPr>
        <w:t xml:space="preserve"> to the extent of incompatibility (i.e., MLI Art. 9(4) is added to this </w:t>
      </w:r>
      <w:r w:rsidR="00877600">
        <w:rPr>
          <w:rFonts w:ascii="Calibri" w:hAnsi="Calibri" w:cs="Calibri"/>
        </w:rPr>
        <w:t>Convention</w:t>
      </w:r>
      <w:r w:rsidRPr="00153737">
        <w:rPr>
          <w:rFonts w:ascii="Calibri" w:hAnsi="Calibri" w:cs="Calibri"/>
        </w:rPr>
        <w:t>).</w:t>
      </w:r>
    </w:p>
    <w:p w:rsidRPr="009D4CA1" w:rsidR="009D4CA1" w:rsidP="00153737" w:rsidRDefault="009D4CA1" w14:paraId="0965B6DC" w14:textId="37CE0342">
      <w:pPr>
        <w:rPr>
          <w:rFonts w:ascii="Calibri" w:hAnsi="Calibri" w:cs="Calibri"/>
          <w:b/>
          <w:bCs/>
        </w:rPr>
      </w:pPr>
      <w:r w:rsidRPr="009D4CA1">
        <w:rPr>
          <w:rFonts w:ascii="Calibri" w:hAnsi="Calibri" w:cs="Calibri"/>
          <w:b/>
          <w:bCs/>
        </w:rPr>
        <w:t>Anti-abuse Rule for Permanent Establishments Situated in Third Jurisdictions (MLI Article 10)</w:t>
      </w:r>
    </w:p>
    <w:p w:rsidRPr="00153737" w:rsidR="009D4CA1" w:rsidP="00153737" w:rsidRDefault="009D4CA1" w14:paraId="748614DC" w14:textId="4DF8986A">
      <w:pPr>
        <w:rPr>
          <w:rFonts w:ascii="Calibri" w:hAnsi="Calibri" w:cs="Calibri"/>
        </w:rPr>
      </w:pPr>
      <w:r>
        <w:rPr>
          <w:rStyle w:val="normaltextrun"/>
          <w:rFonts w:ascii="Calibri" w:hAnsi="Calibri" w:cs="Calibri"/>
          <w:color w:val="000000"/>
          <w:bdr w:val="none" w:color="auto" w:sz="0" w:space="0" w:frame="1"/>
        </w:rPr>
        <w:t>According to MLI Art. 10(4), the provisions of MLI Art. 10(1)-(3) apply and supersede the provisions of this Convention that deny or limit benefits available to an enterprise of a Jurisdiction that derives income from the other Jurisdiction that is attributable to a permanent establishment of the enterprise situated in a third jurisdiction, to the extent of incompatibility (i.e., MLI Art. 10(1)-(3) is added to this Convention).</w:t>
      </w:r>
    </w:p>
    <w:p w:rsidRPr="00153737" w:rsidR="00153737" w:rsidP="00153737" w:rsidRDefault="00153737" w14:paraId="2C9DF935" w14:textId="77777777">
      <w:pPr>
        <w:rPr>
          <w:rFonts w:ascii="Calibri" w:hAnsi="Calibri" w:cs="Calibri"/>
          <w:b/>
        </w:rPr>
      </w:pPr>
      <w:r w:rsidRPr="00153737">
        <w:rPr>
          <w:rFonts w:ascii="Calibri" w:hAnsi="Calibri" w:cs="Calibri"/>
          <w:b/>
        </w:rPr>
        <w:t>Application of Tax Agreements to Restrict a Party’s Right to Tax its Own Residents (MLI Article 11)</w:t>
      </w:r>
    </w:p>
    <w:p w:rsidRPr="00153737" w:rsidR="00153737" w:rsidP="00153737" w:rsidRDefault="00153737" w14:paraId="436E4171" w14:textId="2C096D8D">
      <w:pPr>
        <w:rPr>
          <w:rFonts w:ascii="Calibri" w:hAnsi="Calibri" w:cs="Calibri"/>
        </w:rPr>
      </w:pPr>
      <w:r w:rsidRPr="00153737">
        <w:rPr>
          <w:rFonts w:ascii="Calibri" w:hAnsi="Calibri" w:cs="Calibri"/>
        </w:rPr>
        <w:t xml:space="preserve">According to MLI Art. 11(2), the “saving clause” provision of MLI Art. 11(1) applies and supersedes the provisions of this </w:t>
      </w:r>
      <w:r w:rsidR="003F13F3">
        <w:rPr>
          <w:rFonts w:ascii="Calibri" w:hAnsi="Calibri" w:cs="Calibri"/>
        </w:rPr>
        <w:t>Convention</w:t>
      </w:r>
      <w:r w:rsidRPr="00153737">
        <w:rPr>
          <w:rFonts w:ascii="Calibri" w:hAnsi="Calibri" w:cs="Calibri"/>
        </w:rPr>
        <w:t xml:space="preserve"> to the extent of incompatibility (i.e., MLI Art. 11(1) is added to this </w:t>
      </w:r>
      <w:r w:rsidR="00877600">
        <w:rPr>
          <w:rFonts w:ascii="Calibri" w:hAnsi="Calibri" w:cs="Calibri"/>
        </w:rPr>
        <w:t>Convention</w:t>
      </w:r>
      <w:r w:rsidRPr="00153737">
        <w:rPr>
          <w:rFonts w:ascii="Calibri" w:hAnsi="Calibri" w:cs="Calibri"/>
        </w:rPr>
        <w:t>).</w:t>
      </w:r>
    </w:p>
    <w:p w:rsidRPr="00877600" w:rsidR="00877600" w:rsidP="00877600" w:rsidRDefault="00877600" w14:paraId="04D99757" w14:textId="77777777">
      <w:pPr>
        <w:rPr>
          <w:rFonts w:ascii="Calibri" w:hAnsi="Calibri" w:cs="Calibri"/>
          <w:b/>
        </w:rPr>
      </w:pPr>
      <w:r w:rsidRPr="00877600">
        <w:rPr>
          <w:rFonts w:ascii="Calibri" w:hAnsi="Calibri" w:cs="Calibri"/>
          <w:b/>
        </w:rPr>
        <w:t>Artificial Avoidance of Permanent Establishment Status through Commissionnaire Arrangements and Similar Strategies (MLI Article 12)</w:t>
      </w:r>
    </w:p>
    <w:p w:rsidR="009D4CA1" w:rsidP="00877600" w:rsidRDefault="009D4CA1" w14:paraId="7D531CC5" w14:textId="17758F35">
      <w:pPr>
        <w:rPr>
          <w:rFonts w:ascii="Calibri" w:hAnsi="Calibri" w:cs="Calibri"/>
        </w:rPr>
      </w:pPr>
      <w:r w:rsidRPr="18009FC7" w:rsidR="4065C920">
        <w:rPr>
          <w:rStyle w:val="normaltextrun"/>
          <w:rFonts w:ascii="Calibri" w:hAnsi="Calibri" w:cs="Calibri"/>
          <w:i w:val="1"/>
          <w:iCs w:val="1"/>
          <w:color w:val="000000"/>
          <w:shd w:val="clear" w:color="auto" w:fill="FFFFFF"/>
        </w:rPr>
        <w:t xml:space="preserve">[Note: The OECD MLI Matching Database has </w:t>
      </w:r>
      <w:r w:rsidRPr="18009FC7" w:rsidR="4065C920">
        <w:rPr>
          <w:rStyle w:val="normaltextrun"/>
          <w:rFonts w:ascii="Calibri" w:hAnsi="Calibri" w:cs="Calibri"/>
          <w:i w:val="1"/>
          <w:iCs w:val="1"/>
          <w:color w:val="000000"/>
          <w:shd w:val="clear" w:color="auto" w:fill="FFFFFF"/>
        </w:rPr>
        <w:t xml:space="preserve">indicated</w:t>
      </w:r>
      <w:r w:rsidRPr="18009FC7" w:rsidR="4065C920">
        <w:rPr>
          <w:rStyle w:val="normaltextrun"/>
          <w:rFonts w:ascii="Calibri" w:hAnsi="Calibri" w:cs="Calibri"/>
          <w:i w:val="1"/>
          <w:iCs w:val="1"/>
          <w:color w:val="000000"/>
          <w:shd w:val="clear" w:color="auto" w:fill="FFFFFF"/>
        </w:rPr>
        <w:t xml:space="preserve"> a </w:t>
      </w:r>
      <w:r w:rsidRPr="18009FC7" w:rsidR="4065C920">
        <w:rPr>
          <w:rStyle w:val="normaltextrun"/>
          <w:rFonts w:ascii="Calibri" w:hAnsi="Calibri" w:cs="Calibri"/>
          <w:i w:val="1"/>
          <w:iCs w:val="1"/>
          <w:color w:val="000000"/>
          <w:shd w:val="clear" w:color="auto" w:fill="FFFFFF"/>
        </w:rPr>
        <w:t xml:space="preserve">possible notification</w:t>
      </w:r>
      <w:r w:rsidRPr="18009FC7" w:rsidR="4065C920">
        <w:rPr>
          <w:rStyle w:val="normaltextrun"/>
          <w:rFonts w:ascii="Calibri" w:hAnsi="Calibri" w:cs="Calibri"/>
          <w:i w:val="1"/>
          <w:iCs w:val="1"/>
          <w:color w:val="000000"/>
          <w:shd w:val="clear" w:color="auto" w:fill="FFFFFF"/>
        </w:rPr>
        <w:t xml:space="preserve"> mismatch which requires confirmation as to whether both </w:t>
      </w:r>
      <w:r w:rsidRPr="18009FC7" w:rsidR="4065C920">
        <w:rPr>
          <w:rStyle w:val="normaltextrun"/>
          <w:rFonts w:ascii="Calibri" w:hAnsi="Calibri" w:cs="Calibri"/>
          <w:i w:val="1"/>
          <w:iCs w:val="1"/>
          <w:color w:val="000000"/>
          <w:shd w:val="clear" w:color="auto" w:fill="FFFFFF"/>
        </w:rPr>
        <w:t xml:space="preserve">jurisdictions</w:t>
      </w:r>
      <w:r w:rsidRPr="18009FC7" w:rsidR="4065C920">
        <w:rPr>
          <w:rStyle w:val="normaltextrun"/>
          <w:rFonts w:ascii="Calibri" w:hAnsi="Calibri" w:cs="Calibri"/>
          <w:i w:val="1"/>
          <w:iCs w:val="1"/>
          <w:color w:val="000000"/>
          <w:shd w:val="clear" w:color="auto" w:fill="FFFFFF"/>
        </w:rPr>
        <w:t xml:space="preserve"> have notified the same provision under MLI Art. 12(</w:t>
      </w:r>
      <w:r w:rsidRPr="18009FC7" w:rsidR="4065C920">
        <w:rPr>
          <w:rStyle w:val="normaltextrun"/>
          <w:rFonts w:ascii="Calibri" w:hAnsi="Calibri" w:cs="Calibri"/>
          <w:i w:val="1"/>
          <w:iCs w:val="1"/>
          <w:color w:val="000000"/>
          <w:shd w:val="clear" w:color="auto" w:fill="FFFFFF"/>
        </w:rPr>
        <w:t xml:space="preserve">5))</w:t>
      </w:r>
      <w:r w:rsidRPr="18009FC7" w:rsidR="1AC6A539">
        <w:rPr>
          <w:rStyle w:val="normaltextrun"/>
          <w:rFonts w:ascii="Calibri" w:hAnsi="Calibri" w:cs="Calibri"/>
          <w:i w:val="1"/>
          <w:iCs w:val="1"/>
          <w:color w:val="000000"/>
          <w:shd w:val="clear" w:color="auto" w:fill="FFFFFF"/>
        </w:rPr>
        <w:t xml:space="preserve">.</w:t>
      </w:r>
      <w:r w:rsidRPr="18009FC7" w:rsidR="4065C920">
        <w:rPr>
          <w:rStyle w:val="normaltextrun"/>
          <w:rFonts w:ascii="Calibri" w:hAnsi="Calibri" w:cs="Calibri"/>
          <w:i w:val="1"/>
          <w:iCs w:val="1"/>
          <w:color w:val="000000"/>
          <w:shd w:val="clear" w:color="auto" w:fill="FFFFFF"/>
        </w:rPr>
        <w:t xml:space="preserve"> </w:t>
      </w:r>
      <w:r w:rsidRPr="18009FC7" w:rsidR="4065C920">
        <w:rPr>
          <w:rStyle w:val="normaltextrun"/>
          <w:rFonts w:ascii="Calibri" w:hAnsi="Calibri" w:cs="Calibri"/>
          <w:i w:val="1"/>
          <w:iCs w:val="1"/>
          <w:color w:val="000000"/>
          <w:shd w:val="clear" w:color="auto" w:fill="FFFFFF"/>
        </w:rPr>
        <w:t xml:space="preserve">Denmark </w:t>
      </w:r>
      <w:r w:rsidRPr="18009FC7" w:rsidR="1B76721A">
        <w:rPr>
          <w:rStyle w:val="normaltextrun"/>
          <w:rFonts w:ascii="Calibri" w:hAnsi="Calibri" w:cs="Calibri"/>
          <w:i w:val="1"/>
          <w:iCs w:val="1"/>
          <w:color w:val="000000"/>
          <w:shd w:val="clear" w:color="auto" w:fill="FFFFFF"/>
        </w:rPr>
        <w:t xml:space="preserve">has </w:t>
      </w:r>
      <w:r w:rsidRPr="18009FC7" w:rsidR="4065C920">
        <w:rPr>
          <w:rStyle w:val="normaltextrun"/>
          <w:rFonts w:ascii="Calibri" w:hAnsi="Calibri" w:cs="Calibri"/>
          <w:i w:val="1"/>
          <w:iCs w:val="1"/>
          <w:color w:val="000000"/>
          <w:shd w:val="clear" w:color="auto" w:fill="FFFFFF"/>
        </w:rPr>
        <w:t xml:space="preserve">notified Art</w:t>
      </w:r>
      <w:r w:rsidRPr="18009FC7" w:rsidR="3B407897">
        <w:rPr>
          <w:rStyle w:val="normaltextrun"/>
          <w:rFonts w:ascii="Calibri" w:hAnsi="Calibri" w:cs="Calibri"/>
          <w:i w:val="1"/>
          <w:iCs w:val="1"/>
          <w:color w:val="000000"/>
          <w:shd w:val="clear" w:color="auto" w:fill="FFFFFF"/>
        </w:rPr>
        <w:t xml:space="preserve">icle</w:t>
      </w:r>
      <w:r w:rsidRPr="18009FC7" w:rsidR="4065C920">
        <w:rPr>
          <w:rStyle w:val="normaltextrun"/>
          <w:rFonts w:ascii="Calibri" w:hAnsi="Calibri" w:cs="Calibri"/>
          <w:i w:val="1"/>
          <w:iCs w:val="1"/>
          <w:color w:val="000000"/>
          <w:shd w:val="clear" w:color="auto" w:fill="FFFFFF"/>
        </w:rPr>
        <w:t xml:space="preserve"> 5(4) and Kenya </w:t>
      </w:r>
      <w:r w:rsidRPr="18009FC7" w:rsidR="7E8A71C8">
        <w:rPr>
          <w:rStyle w:val="normaltextrun"/>
          <w:rFonts w:ascii="Calibri" w:hAnsi="Calibri" w:cs="Calibri"/>
          <w:i w:val="1"/>
          <w:iCs w:val="1"/>
          <w:color w:val="000000"/>
          <w:shd w:val="clear" w:color="auto" w:fill="FFFFFF"/>
        </w:rPr>
        <w:t xml:space="preserve">has </w:t>
      </w:r>
      <w:r w:rsidRPr="18009FC7" w:rsidR="4065C920">
        <w:rPr>
          <w:rStyle w:val="normaltextrun"/>
          <w:rFonts w:ascii="Calibri" w:hAnsi="Calibri" w:cs="Calibri"/>
          <w:i w:val="1"/>
          <w:iCs w:val="1"/>
          <w:color w:val="000000"/>
          <w:shd w:val="clear" w:color="auto" w:fill="FFFFFF"/>
        </w:rPr>
        <w:t xml:space="preserve">notified Art</w:t>
      </w:r>
      <w:r w:rsidRPr="18009FC7" w:rsidR="61B709FF">
        <w:rPr>
          <w:rStyle w:val="normaltextrun"/>
          <w:rFonts w:ascii="Calibri" w:hAnsi="Calibri" w:cs="Calibri"/>
          <w:i w:val="1"/>
          <w:iCs w:val="1"/>
          <w:color w:val="000000"/>
          <w:shd w:val="clear" w:color="auto" w:fill="FFFFFF"/>
        </w:rPr>
        <w:t xml:space="preserve">icle</w:t>
      </w:r>
      <w:r w:rsidRPr="18009FC7" w:rsidR="4065C920">
        <w:rPr>
          <w:rStyle w:val="normaltextrun"/>
          <w:rFonts w:ascii="Calibri" w:hAnsi="Calibri" w:cs="Calibri"/>
          <w:i w:val="1"/>
          <w:iCs w:val="1"/>
          <w:color w:val="000000"/>
          <w:shd w:val="clear" w:color="auto" w:fill="FFFFFF"/>
        </w:rPr>
        <w:t xml:space="preserve"> 5(4)(a). The MLI does not make clear whether a </w:t>
      </w:r>
      <w:r w:rsidRPr="18009FC7" w:rsidR="4065C920">
        <w:rPr>
          <w:rStyle w:val="normaltextrun"/>
          <w:rFonts w:ascii="Calibri" w:hAnsi="Calibri" w:cs="Calibri"/>
          <w:i w:val="1"/>
          <w:iCs w:val="1"/>
          <w:color w:val="000000"/>
          <w:shd w:val="clear" w:color="auto" w:fill="FFFFFF"/>
        </w:rPr>
        <w:t xml:space="preserve">technical mismatch caused by one party’s notification of a provision that is included in, but is not coextensive with, a provision named in the other party’s notification should be viewed as a common notification of the lesser included provision</w:t>
      </w:r>
      <w:r w:rsidRPr="18009FC7" w:rsidR="4065C920">
        <w:rPr>
          <w:rStyle w:val="normaltextrun"/>
          <w:rFonts w:ascii="Calibri" w:hAnsi="Calibri" w:cs="Calibri"/>
          <w:i w:val="1"/>
          <w:iCs w:val="1"/>
          <w:color w:val="000000"/>
          <w:shd w:val="clear" w:color="auto" w:fill="FFFFFF"/>
        </w:rPr>
        <w:t xml:space="preserve">.  </w:t>
      </w:r>
      <w:r w:rsidRPr="18009FC7" w:rsidR="456986E1">
        <w:rPr>
          <w:rFonts w:ascii="Calibri" w:hAnsi="Calibri" w:eastAsia="Calibri" w:cs="Calibri"/>
          <w:i w:val="1"/>
          <w:iCs w:val="1"/>
          <w:noProof w:val="0"/>
          <w:sz w:val="22"/>
          <w:szCs w:val="22"/>
          <w:lang w:val="en-US"/>
        </w:rPr>
        <w:t xml:space="preserve">The following discussion assumes there is no mismatch</w:t>
      </w:r>
      <w:r w:rsidRPr="18009FC7" w:rsidR="12A8C66C">
        <w:rPr>
          <w:rFonts w:ascii="Calibri" w:hAnsi="Calibri" w:eastAsia="Calibri" w:cs="Calibri"/>
          <w:i w:val="1"/>
          <w:iCs w:val="1"/>
          <w:noProof w:val="0"/>
          <w:sz w:val="22"/>
          <w:szCs w:val="22"/>
          <w:lang w:val="en-US"/>
        </w:rPr>
        <w:t>,</w:t>
      </w:r>
      <w:r w:rsidRPr="18009FC7" w:rsidR="12A8C66C">
        <w:rPr>
          <w:rStyle w:val="normaltextrun"/>
          <w:rFonts w:ascii="Calibri" w:hAnsi="Calibri" w:cs="Calibri"/>
          <w:i w:val="1"/>
          <w:iCs w:val="1"/>
        </w:rPr>
        <w:t xml:space="preserve"> i.e., that both </w:t>
      </w:r>
      <w:r w:rsidRPr="18009FC7" w:rsidR="12A8C66C">
        <w:rPr>
          <w:rStyle w:val="normaltextrun"/>
          <w:rFonts w:ascii="Calibri" w:hAnsi="Calibri" w:cs="Calibri"/>
          <w:i w:val="1"/>
          <w:iCs w:val="1"/>
        </w:rPr>
        <w:t>jurisdictions</w:t>
      </w:r>
      <w:r w:rsidRPr="18009FC7" w:rsidR="12A8C66C">
        <w:rPr>
          <w:rStyle w:val="normaltextrun"/>
          <w:rFonts w:ascii="Calibri" w:hAnsi="Calibri" w:cs="Calibri"/>
          <w:i w:val="1"/>
          <w:iCs w:val="1"/>
        </w:rPr>
        <w:t xml:space="preserve"> have notified the same provision under MLI Art. 12(5)</w:t>
      </w:r>
      <w:r w:rsidRPr="18009FC7" w:rsidR="456986E1">
        <w:rPr>
          <w:rFonts w:ascii="Calibri" w:hAnsi="Calibri" w:eastAsia="Calibri" w:cs="Calibri"/>
          <w:i w:val="1"/>
          <w:iCs w:val="1"/>
          <w:noProof w:val="0"/>
          <w:sz w:val="22"/>
          <w:szCs w:val="22"/>
          <w:lang w:val="en-US"/>
        </w:rPr>
        <w:t xml:space="preserve">.</w:t>
      </w:r>
      <w:r w:rsidRPr="757072EA" w:rsidR="456986E1">
        <w:rPr>
          <w:rFonts w:ascii="Calibri" w:hAnsi="Calibri" w:eastAsia="Calibri" w:cs="Calibri"/>
          <w:noProof w:val="0"/>
          <w:sz w:val="22"/>
          <w:szCs w:val="22"/>
          <w:lang w:val="en-US"/>
        </w:rPr>
        <w:t xml:space="preserve"> </w:t>
      </w:r>
      <w:r w:rsidRPr="18009FC7" w:rsidR="4065C920">
        <w:rPr>
          <w:rStyle w:val="normaltextrun"/>
          <w:rFonts w:ascii="Calibri" w:hAnsi="Calibri" w:cs="Calibri"/>
          <w:i w:val="1"/>
          <w:iCs w:val="1"/>
          <w:color w:val="000000"/>
          <w:shd w:val="clear" w:color="auto" w:fill="FFFFFF"/>
        </w:rPr>
        <w:t xml:space="preserve"> </w:t>
      </w:r>
      <w:r w:rsidRPr="18009FC7" w:rsidR="4065C920">
        <w:rPr>
          <w:rStyle w:val="normaltextrun"/>
          <w:rFonts w:ascii="Calibri" w:hAnsi="Calibri" w:cs="Calibri"/>
          <w:i w:val="1"/>
          <w:iCs w:val="1"/>
          <w:color w:val="000000"/>
          <w:shd w:val="clear" w:color="auto" w:fill="FFFFFF"/>
        </w:rPr>
        <w:t xml:space="preserve">If it is </w:t>
      </w:r>
      <w:r w:rsidRPr="18009FC7" w:rsidR="4065C920">
        <w:rPr>
          <w:rStyle w:val="normaltextrun"/>
          <w:rFonts w:ascii="Calibri" w:hAnsi="Calibri" w:cs="Calibri"/>
          <w:i w:val="1"/>
          <w:iCs w:val="1"/>
          <w:color w:val="000000"/>
          <w:shd w:val="clear" w:color="auto" w:fill="FFFFFF"/>
        </w:rPr>
        <w:t>determined</w:t>
      </w:r>
      <w:r w:rsidRPr="18009FC7" w:rsidR="4065C920">
        <w:rPr>
          <w:rStyle w:val="normaltextrun"/>
          <w:rFonts w:ascii="Calibri" w:hAnsi="Calibri" w:cs="Calibri"/>
          <w:i w:val="1"/>
          <w:iCs w:val="1"/>
          <w:color w:val="000000"/>
          <w:shd w:val="clear" w:color="auto" w:fill="FFFFFF"/>
        </w:rPr>
        <w:t xml:space="preserve"> there is a mismatch, MLI Art. 12(1) does not </w:t>
      </w:r>
      <w:r w:rsidRPr="18009FC7" w:rsidR="0BF5F3C0">
        <w:rPr>
          <w:rStyle w:val="normaltextrun"/>
          <w:rFonts w:ascii="Calibri" w:hAnsi="Calibri" w:cs="Calibri"/>
          <w:i w:val="1"/>
          <w:iCs w:val="1"/>
          <w:color w:val="000000"/>
          <w:shd w:val="clear" w:color="auto" w:fill="FFFFFF"/>
        </w:rPr>
        <w:t xml:space="preserve">apply with</w:t>
      </w:r>
      <w:r w:rsidRPr="18009FC7" w:rsidR="3F0A400F">
        <w:rPr>
          <w:rFonts w:ascii="Calibri" w:hAnsi="Calibri" w:cs="Calibri"/>
          <w:i w:val="1"/>
          <w:iCs w:val="1"/>
        </w:rPr>
        <w:t xml:space="preserve"> respect to Art</w:t>
      </w:r>
      <w:r w:rsidRPr="18009FC7" w:rsidR="3F0A400F">
        <w:rPr>
          <w:rFonts w:ascii="Calibri" w:hAnsi="Calibri" w:cs="Calibri"/>
          <w:i w:val="1"/>
          <w:iCs w:val="1"/>
        </w:rPr>
        <w:t>icle</w:t>
      </w:r>
      <w:r w:rsidRPr="18009FC7" w:rsidR="3F0A400F">
        <w:rPr>
          <w:rFonts w:ascii="Calibri" w:hAnsi="Calibri" w:cs="Calibri"/>
          <w:i w:val="1"/>
          <w:iCs w:val="1"/>
        </w:rPr>
        <w:t xml:space="preserve"> </w:t>
      </w:r>
      <w:r w:rsidRPr="18009FC7" w:rsidR="3F0A400F">
        <w:rPr>
          <w:rFonts w:ascii="Calibri" w:hAnsi="Calibri" w:cs="Calibri"/>
          <w:i w:val="1"/>
          <w:iCs w:val="1"/>
        </w:rPr>
        <w:t>5(4)</w:t>
      </w:r>
      <w:r w:rsidRPr="18009FC7" w:rsidR="3F0A400F">
        <w:rPr>
          <w:rFonts w:ascii="Calibri" w:hAnsi="Calibri" w:cs="Calibri"/>
          <w:i w:val="1"/>
          <w:iCs w:val="1"/>
        </w:rPr>
        <w:t xml:space="preserve"> of this Convention</w:t>
      </w:r>
      <w:r w:rsidRPr="18009FC7" w:rsidR="4065C920">
        <w:rPr>
          <w:rStyle w:val="normaltextrun"/>
          <w:rFonts w:ascii="Calibri" w:hAnsi="Calibri" w:cs="Calibri"/>
          <w:i w:val="1"/>
          <w:iCs w:val="1"/>
          <w:color w:val="000000"/>
          <w:shd w:val="clear" w:color="auto" w:fill="FFFFFF"/>
        </w:rPr>
        <w:lastRenderedPageBreak/>
        <w:t>.]</w:t>
      </w:r>
      <w:r w:rsidR="4065C920">
        <w:rPr>
          <w:rStyle w:val="eop"/>
          <w:rFonts w:ascii="Calibri" w:hAnsi="Calibri" w:cs="Calibri"/>
          <w:color w:val="000000"/>
          <w:shd w:val="clear" w:color="auto" w:fill="FFFFFF"/>
        </w:rPr>
        <w:t> </w:t>
      </w:r>
    </w:p>
    <w:p w:rsidRPr="00877600" w:rsidR="00877600" w:rsidP="00877600" w:rsidRDefault="00877600" w14:paraId="2A8FA87E" w14:textId="0787BC65">
      <w:pPr>
        <w:rPr>
          <w:rFonts w:ascii="Calibri" w:hAnsi="Calibri" w:cs="Calibri"/>
          <w:b/>
        </w:rPr>
      </w:pPr>
      <w:r w:rsidRPr="00877600">
        <w:rPr>
          <w:rFonts w:ascii="Calibri" w:hAnsi="Calibri" w:cs="Calibri"/>
        </w:rPr>
        <w:t xml:space="preserve">According to MLI Art. 12(3), the provision of MLI Art. 12(1), </w:t>
      </w:r>
      <w:bookmarkStart w:name="_Hlk45791300" w:id="0"/>
      <w:r w:rsidRPr="00877600">
        <w:rPr>
          <w:rFonts w:ascii="Calibri" w:hAnsi="Calibri" w:cs="Calibri"/>
        </w:rPr>
        <w:t>which expands the circumstances under which a dependent agent creates a permanent establishment, to include situations where a person, acting on behalf of an enterprise, habitually concludes contracts, or habitually plays the principal role leading to the conclusion of contacts without material modifications by the enterprise</w:t>
      </w:r>
      <w:bookmarkEnd w:id="0"/>
      <w:r w:rsidRPr="00877600">
        <w:rPr>
          <w:rFonts w:ascii="Calibri" w:hAnsi="Calibri" w:cs="Calibri"/>
        </w:rPr>
        <w:t>, replaces Art. 5(</w:t>
      </w:r>
      <w:r w:rsidR="009D4CA1">
        <w:rPr>
          <w:rFonts w:ascii="Calibri" w:hAnsi="Calibri" w:cs="Calibri"/>
        </w:rPr>
        <w:t>4</w:t>
      </w:r>
      <w:r w:rsidRPr="00877600">
        <w:rPr>
          <w:rFonts w:ascii="Calibri" w:hAnsi="Calibri" w:cs="Calibri"/>
        </w:rPr>
        <w:t>)</w:t>
      </w:r>
      <w:r w:rsidR="009D4CA1">
        <w:rPr>
          <w:rFonts w:ascii="Calibri" w:hAnsi="Calibri" w:cs="Calibri"/>
        </w:rPr>
        <w:t>(a)</w:t>
      </w:r>
      <w:r w:rsidRPr="00877600">
        <w:rPr>
          <w:rFonts w:ascii="Calibri" w:hAnsi="Calibri" w:cs="Calibri"/>
        </w:rPr>
        <w:t xml:space="preserve"> of this </w:t>
      </w:r>
      <w:r w:rsidR="009D4CA1">
        <w:rPr>
          <w:rFonts w:ascii="Calibri" w:hAnsi="Calibri" w:cs="Calibri"/>
        </w:rPr>
        <w:t>Convention</w:t>
      </w:r>
      <w:r w:rsidRPr="00877600">
        <w:rPr>
          <w:rFonts w:ascii="Calibri" w:hAnsi="Calibri" w:cs="Calibri"/>
        </w:rPr>
        <w:t>.</w:t>
      </w:r>
    </w:p>
    <w:p w:rsidRPr="00877600" w:rsidR="00877600" w:rsidP="00877600" w:rsidRDefault="00877600" w14:paraId="643FB2FA" w14:textId="5E4E79D3">
      <w:pPr>
        <w:rPr>
          <w:rFonts w:ascii="Calibri" w:hAnsi="Calibri" w:cs="Calibri"/>
        </w:rPr>
      </w:pPr>
      <w:r w:rsidRPr="00877600">
        <w:rPr>
          <w:rFonts w:ascii="Calibri" w:hAnsi="Calibri" w:cs="Calibri"/>
        </w:rPr>
        <w:t>In addition, the provision of MLI Art. 12(2), which restricts the definition of independent agent to exclude a person acting exclusively or almost exclusively on behalf of one or more enterprises to which it is closely related, replaces Art. 5(</w:t>
      </w:r>
      <w:r>
        <w:rPr>
          <w:rFonts w:ascii="Calibri" w:hAnsi="Calibri" w:cs="Calibri"/>
        </w:rPr>
        <w:t>6</w:t>
      </w:r>
      <w:r w:rsidRPr="00877600">
        <w:rPr>
          <w:rFonts w:ascii="Calibri" w:hAnsi="Calibri" w:cs="Calibri"/>
        </w:rPr>
        <w:t xml:space="preserve">) of this </w:t>
      </w:r>
      <w:r w:rsidR="009D4CA1">
        <w:rPr>
          <w:rFonts w:ascii="Calibri" w:hAnsi="Calibri" w:cs="Calibri"/>
        </w:rPr>
        <w:t>Convention</w:t>
      </w:r>
      <w:r w:rsidRPr="00877600">
        <w:rPr>
          <w:rFonts w:ascii="Calibri" w:hAnsi="Calibri" w:cs="Calibri"/>
        </w:rPr>
        <w:t xml:space="preserve">. </w:t>
      </w:r>
    </w:p>
    <w:p w:rsidRPr="00877600" w:rsidR="00877600" w:rsidP="00877600" w:rsidRDefault="00877600" w14:paraId="7AC20C6A" w14:textId="77777777">
      <w:pPr>
        <w:rPr>
          <w:rFonts w:ascii="Calibri" w:hAnsi="Calibri" w:cs="Calibri"/>
        </w:rPr>
      </w:pPr>
      <w:r w:rsidRPr="00877600">
        <w:rPr>
          <w:rFonts w:ascii="Calibri" w:hAnsi="Calibri" w:cs="Calibri"/>
          <w:b/>
        </w:rPr>
        <w:t>Artificial Avoidance of Permanent Establishment Status through the Specific Activity Exemptions (MLI Article 13)</w:t>
      </w:r>
    </w:p>
    <w:p w:rsidRPr="00877600" w:rsidR="00877600" w:rsidP="00877600" w:rsidRDefault="00877600" w14:paraId="0163386C" w14:textId="7AC29FF3">
      <w:pPr>
        <w:rPr>
          <w:rFonts w:ascii="Calibri" w:hAnsi="Calibri" w:cs="Calibri"/>
        </w:rPr>
      </w:pPr>
      <w:r w:rsidRPr="0802F626" w:rsidR="48BC8836">
        <w:rPr>
          <w:rFonts w:ascii="Calibri" w:hAnsi="Calibri" w:cs="Calibri"/>
        </w:rPr>
        <w:t xml:space="preserve">According to MLI Art. 13(5)(a), </w:t>
      </w:r>
      <w:r w:rsidRPr="0802F626" w:rsidR="48BC8836">
        <w:rPr>
          <w:rFonts w:ascii="Calibri" w:hAnsi="Calibri" w:cs="Calibri"/>
        </w:rPr>
        <w:t>Option</w:t>
      </w:r>
      <w:r w:rsidRPr="0802F626" w:rsidR="48BC8836">
        <w:rPr>
          <w:rFonts w:ascii="Calibri" w:hAnsi="Calibri" w:cs="Calibri"/>
        </w:rPr>
        <w:t xml:space="preserve"> A under MLI Art. 13(2), which preserves the specific activity exemptions only if the specific activity or, where there is a combination of such activities, the overall activity, is of a preparatory or auxiliary character </w:t>
      </w:r>
      <w:r w:rsidRPr="0802F626" w:rsidR="169C19B6">
        <w:rPr>
          <w:rFonts w:ascii="Calibri" w:hAnsi="Calibri" w:eastAsia="Calibri" w:cs="Calibri"/>
          <w:noProof w:val="0"/>
          <w:sz w:val="22"/>
          <w:szCs w:val="22"/>
          <w:lang w:val="en-US"/>
        </w:rPr>
        <w:t xml:space="preserve">applies, changing the application </w:t>
      </w:r>
      <w:r w:rsidRPr="0802F626" w:rsidR="48BC8836">
        <w:rPr>
          <w:rFonts w:ascii="Calibri" w:hAnsi="Calibri" w:cs="Calibri"/>
        </w:rPr>
        <w:t>of</w:t>
      </w:r>
      <w:r w:rsidRPr="0802F626" w:rsidR="48BC8836">
        <w:rPr>
          <w:rFonts w:ascii="Calibri" w:hAnsi="Calibri" w:cs="Calibri"/>
        </w:rPr>
        <w:t xml:space="preserve"> Art. 5(</w:t>
      </w:r>
      <w:r w:rsidRPr="0802F626" w:rsidR="4C45B3F8">
        <w:rPr>
          <w:rFonts w:ascii="Calibri" w:hAnsi="Calibri" w:cs="Calibri"/>
        </w:rPr>
        <w:t>3</w:t>
      </w:r>
      <w:r w:rsidRPr="0802F626" w:rsidR="48BC8836">
        <w:rPr>
          <w:rFonts w:ascii="Calibri" w:hAnsi="Calibri" w:cs="Calibri"/>
        </w:rPr>
        <w:t xml:space="preserve">) of this </w:t>
      </w:r>
      <w:r w:rsidRPr="0802F626" w:rsidR="4065C920">
        <w:rPr>
          <w:rFonts w:ascii="Calibri" w:hAnsi="Calibri" w:cs="Calibri"/>
        </w:rPr>
        <w:t>Convention</w:t>
      </w:r>
      <w:r w:rsidRPr="0802F626" w:rsidR="48BC8836">
        <w:rPr>
          <w:rFonts w:ascii="Calibri" w:hAnsi="Calibri" w:cs="Calibri"/>
        </w:rPr>
        <w:t>. According to MLI Art. 13(5)(b), the anti-fragmentation rule of MLI Art. (13)(4) applies, changing the application of Art. 5(</w:t>
      </w:r>
      <w:r w:rsidRPr="0802F626" w:rsidR="4C45B3F8">
        <w:rPr>
          <w:rFonts w:ascii="Calibri" w:hAnsi="Calibri" w:cs="Calibri"/>
        </w:rPr>
        <w:t>3</w:t>
      </w:r>
      <w:r w:rsidRPr="0802F626" w:rsidR="48BC8836">
        <w:rPr>
          <w:rFonts w:ascii="Calibri" w:hAnsi="Calibri" w:cs="Calibri"/>
        </w:rPr>
        <w:t xml:space="preserve">) of this </w:t>
      </w:r>
      <w:r w:rsidRPr="0802F626" w:rsidR="4065C920">
        <w:rPr>
          <w:rFonts w:ascii="Calibri" w:hAnsi="Calibri" w:cs="Calibri"/>
        </w:rPr>
        <w:t>Convention</w:t>
      </w:r>
      <w:r w:rsidRPr="0802F626" w:rsidR="48BC8836">
        <w:rPr>
          <w:rFonts w:ascii="Calibri" w:hAnsi="Calibri" w:cs="Calibri"/>
        </w:rPr>
        <w:t xml:space="preserve"> without replacing it. </w:t>
      </w:r>
    </w:p>
    <w:p w:rsidRPr="003105FF" w:rsidR="003105FF" w:rsidP="003105FF" w:rsidRDefault="003105FF" w14:paraId="2C8B4CE1" w14:textId="77777777">
      <w:pPr>
        <w:rPr>
          <w:rFonts w:ascii="Calibri" w:hAnsi="Calibri" w:cs="Calibri"/>
          <w:b/>
          <w:bCs/>
        </w:rPr>
      </w:pPr>
      <w:r w:rsidRPr="003105FF">
        <w:rPr>
          <w:rFonts w:ascii="Calibri" w:hAnsi="Calibri" w:cs="Calibri"/>
          <w:b/>
          <w:bCs/>
        </w:rPr>
        <w:t>Splitting-up of Contacts (MLI Article 14)</w:t>
      </w:r>
    </w:p>
    <w:p w:rsidRPr="003105FF" w:rsidR="003105FF" w:rsidP="003105FF" w:rsidRDefault="003105FF" w14:paraId="77110BA2" w14:textId="77777777">
      <w:pPr>
        <w:rPr>
          <w:rFonts w:ascii="Calibri" w:hAnsi="Calibri" w:cs="Calibri"/>
        </w:rPr>
      </w:pPr>
      <w:r w:rsidRPr="003105FF">
        <w:rPr>
          <w:rFonts w:ascii="Calibri" w:hAnsi="Calibri" w:cs="Calibri"/>
        </w:rPr>
        <w:t xml:space="preserve">According to MLI Art. 14(2), the splitting-up of contracts rule of MLI Art. 14(1), which addresses the division of contracts into multiple parts to avoid the application of a time period in relation to the existence of a permanent establishment for specific projects or activities, applies and supersedes the provisions of this Convention to the extent of incompatibility (i.e., MLI Art. 14(1) is added to this Convention. </w:t>
      </w:r>
    </w:p>
    <w:p w:rsidRPr="00877600" w:rsidR="00877600" w:rsidP="00877600" w:rsidRDefault="00877600" w14:paraId="5ABF48D4" w14:textId="50373473">
      <w:pPr>
        <w:rPr>
          <w:rFonts w:ascii="Calibri" w:hAnsi="Calibri" w:cs="Calibri"/>
          <w:b/>
        </w:rPr>
      </w:pPr>
      <w:r w:rsidRPr="00877600">
        <w:rPr>
          <w:rFonts w:ascii="Calibri" w:hAnsi="Calibri" w:cs="Calibri"/>
          <w:b/>
        </w:rPr>
        <w:t>Definition of a Person Closely Related to an Enterprise (MLI Article 15)</w:t>
      </w:r>
    </w:p>
    <w:p w:rsidRPr="00877600" w:rsidR="00877600" w:rsidP="00877600" w:rsidRDefault="00877600" w14:paraId="7759C979" w14:textId="208347A7">
      <w:pPr>
        <w:rPr>
          <w:rFonts w:ascii="Calibri" w:hAnsi="Calibri" w:cs="Calibri"/>
        </w:rPr>
      </w:pPr>
      <w:r w:rsidRPr="00877600">
        <w:rPr>
          <w:rFonts w:ascii="Calibri" w:hAnsi="Calibri" w:cs="Calibri"/>
        </w:rPr>
        <w:t>The definition of a person closely related to an enterprise in MLI Art. 15(1) applies for purposes of Art. 5(</w:t>
      </w:r>
      <w:r w:rsidR="003105FF">
        <w:rPr>
          <w:rFonts w:ascii="Calibri" w:hAnsi="Calibri" w:cs="Calibri"/>
        </w:rPr>
        <w:t>3</w:t>
      </w:r>
      <w:r w:rsidRPr="00877600">
        <w:rPr>
          <w:rFonts w:ascii="Calibri" w:hAnsi="Calibri" w:cs="Calibri"/>
        </w:rPr>
        <w:t xml:space="preserve">) of this </w:t>
      </w:r>
      <w:r w:rsidR="00B43AE1">
        <w:rPr>
          <w:rFonts w:ascii="Calibri" w:hAnsi="Calibri" w:cs="Calibri"/>
        </w:rPr>
        <w:t>Convention</w:t>
      </w:r>
      <w:r w:rsidRPr="00877600">
        <w:rPr>
          <w:rFonts w:ascii="Calibri" w:hAnsi="Calibri" w:cs="Calibri"/>
        </w:rPr>
        <w:t xml:space="preserve"> (as modified by the anti-fragmentation rule of MLI Art. 13(4))</w:t>
      </w:r>
      <w:r w:rsidR="00B90C8C">
        <w:rPr>
          <w:rFonts w:ascii="Calibri" w:hAnsi="Calibri" w:cs="Calibri"/>
        </w:rPr>
        <w:t>;</w:t>
      </w:r>
      <w:r w:rsidRPr="00877600">
        <w:rPr>
          <w:rFonts w:ascii="Calibri" w:hAnsi="Calibri" w:cs="Calibri"/>
        </w:rPr>
        <w:t xml:space="preserve"> for purposes of Art. 5(</w:t>
      </w:r>
      <w:r w:rsidR="003105FF">
        <w:rPr>
          <w:rFonts w:ascii="Calibri" w:hAnsi="Calibri" w:cs="Calibri"/>
        </w:rPr>
        <w:t>6</w:t>
      </w:r>
      <w:r w:rsidRPr="00877600">
        <w:rPr>
          <w:rFonts w:ascii="Calibri" w:hAnsi="Calibri" w:cs="Calibri"/>
        </w:rPr>
        <w:t xml:space="preserve">) of this </w:t>
      </w:r>
      <w:r w:rsidR="003F13F3">
        <w:rPr>
          <w:rFonts w:ascii="Calibri" w:hAnsi="Calibri" w:cs="Calibri"/>
        </w:rPr>
        <w:t>Convention</w:t>
      </w:r>
      <w:r w:rsidRPr="00877600">
        <w:rPr>
          <w:rFonts w:ascii="Calibri" w:hAnsi="Calibri" w:cs="Calibri"/>
        </w:rPr>
        <w:t xml:space="preserve"> (as modified by the provision addressing independent agents, acting in the ordinary course of their business of MLI Art. 12(2))</w:t>
      </w:r>
      <w:r w:rsidR="003105FF">
        <w:rPr>
          <w:rFonts w:ascii="Calibri" w:hAnsi="Calibri" w:cs="Calibri"/>
        </w:rPr>
        <w:t xml:space="preserve">; and for purposes of MLI Art. 14(1), providing the splitting-up of contracts rule, which was added to this Convention. </w:t>
      </w:r>
    </w:p>
    <w:p w:rsidRPr="002D5115" w:rsidR="003105FF" w:rsidP="003105FF" w:rsidRDefault="003105FF" w14:paraId="394C289B" w14:textId="77777777">
      <w:pPr>
        <w:rPr>
          <w:rFonts w:ascii="Calibri" w:hAnsi="Calibri" w:cs="Calibri"/>
          <w:b/>
          <w:bCs/>
        </w:rPr>
      </w:pPr>
      <w:r w:rsidRPr="002D5115">
        <w:rPr>
          <w:rFonts w:ascii="Calibri" w:hAnsi="Calibri" w:cs="Calibri"/>
          <w:b/>
          <w:bCs/>
        </w:rPr>
        <w:t>Mutual Agreement Procedure (MLI Article 16)</w:t>
      </w:r>
    </w:p>
    <w:p w:rsidR="003105FF" w:rsidP="003105FF" w:rsidRDefault="003105FF" w14:paraId="39BE976E" w14:textId="788717B0">
      <w:pPr>
        <w:rPr>
          <w:rFonts w:ascii="Calibri" w:hAnsi="Calibri" w:cs="Calibri"/>
        </w:rPr>
      </w:pPr>
      <w:r w:rsidRPr="002D5115">
        <w:rPr>
          <w:rFonts w:ascii="Calibri" w:hAnsi="Calibri" w:cs="Calibri"/>
        </w:rPr>
        <w:t xml:space="preserve">The following provision of this Convention related to dispute resolution </w:t>
      </w:r>
      <w:r w:rsidR="00B90C8C">
        <w:rPr>
          <w:rFonts w:ascii="Calibri" w:hAnsi="Calibri" w:cs="Calibri"/>
        </w:rPr>
        <w:t>is</w:t>
      </w:r>
      <w:r w:rsidRPr="002D5115">
        <w:rPr>
          <w:rFonts w:ascii="Calibri" w:hAnsi="Calibri" w:cs="Calibri"/>
        </w:rPr>
        <w:t xml:space="preserve"> modified to meet the minimum standard: </w:t>
      </w:r>
    </w:p>
    <w:p w:rsidR="003105FF" w:rsidP="003105FF" w:rsidRDefault="003105FF" w14:paraId="00CB259A" w14:textId="2DCEF310">
      <w:pPr>
        <w:pStyle w:val="ListParagraph"/>
        <w:numPr>
          <w:ilvl w:val="0"/>
          <w:numId w:val="1"/>
        </w:numPr>
        <w:rPr>
          <w:rFonts w:ascii="Calibri" w:hAnsi="Calibri" w:cs="Calibri"/>
        </w:rPr>
      </w:pPr>
      <w:r w:rsidRPr="00C858CB">
        <w:rPr>
          <w:rFonts w:ascii="Calibri" w:hAnsi="Calibri" w:cs="Calibri"/>
        </w:rPr>
        <w:lastRenderedPageBreak/>
        <w:t>The second sentence of MLI Art. 16(</w:t>
      </w:r>
      <w:r w:rsidR="00FF667C">
        <w:rPr>
          <w:rFonts w:ascii="Calibri" w:hAnsi="Calibri" w:cs="Calibri"/>
        </w:rPr>
        <w:t>2</w:t>
      </w:r>
      <w:r w:rsidRPr="00C858CB">
        <w:rPr>
          <w:rFonts w:ascii="Calibri" w:hAnsi="Calibri" w:cs="Calibri"/>
        </w:rPr>
        <w:t xml:space="preserve">), providing </w:t>
      </w:r>
      <w:r w:rsidR="00FF667C">
        <w:rPr>
          <w:rFonts w:ascii="Calibri" w:hAnsi="Calibri" w:cs="Calibri"/>
        </w:rPr>
        <w:t xml:space="preserve">that any agreement be implemented notwithstanding any time limits in the domestic law of either jurisdiction, is added to </w:t>
      </w:r>
      <w:r w:rsidRPr="00C858CB">
        <w:rPr>
          <w:rFonts w:ascii="Calibri" w:hAnsi="Calibri" w:cs="Calibri"/>
        </w:rPr>
        <w:t>this Convention.</w:t>
      </w:r>
    </w:p>
    <w:p w:rsidRPr="00347FD2" w:rsidR="003105FF" w:rsidP="003105FF" w:rsidRDefault="00EB65FB" w14:paraId="0C6E3B92" w14:textId="3B896A6B">
      <w:pPr>
        <w:rPr>
          <w:rFonts w:ascii="Calibri" w:hAnsi="Calibri" w:cs="Calibri"/>
        </w:rPr>
      </w:pPr>
      <w:r w:rsidRPr="0802F626" w:rsidR="78AA52F9">
        <w:rPr>
          <w:rFonts w:ascii="Calibri" w:hAnsi="Calibri" w:cs="Calibri"/>
        </w:rPr>
        <w:t xml:space="preserve">The first sentence of MLI Art. 16(1), providing that a person may present a case to the competent authority of either </w:t>
      </w:r>
      <w:r w:rsidRPr="0802F626" w:rsidR="78AA52F9">
        <w:rPr>
          <w:rFonts w:ascii="Calibri" w:hAnsi="Calibri" w:cs="Calibri"/>
        </w:rPr>
        <w:t>jurisdiction</w:t>
      </w:r>
      <w:r w:rsidRPr="0802F626" w:rsidR="78AA52F9">
        <w:rPr>
          <w:rFonts w:ascii="Calibri" w:hAnsi="Calibri" w:cs="Calibri"/>
        </w:rPr>
        <w:t>, does not apply as Kenya intend</w:t>
      </w:r>
      <w:r w:rsidRPr="0802F626" w:rsidR="78AA52F9">
        <w:rPr>
          <w:rFonts w:ascii="Calibri" w:hAnsi="Calibri" w:cs="Calibri"/>
        </w:rPr>
        <w:t>s</w:t>
      </w:r>
      <w:r w:rsidRPr="0802F626" w:rsidR="78AA52F9">
        <w:rPr>
          <w:rFonts w:ascii="Calibri" w:hAnsi="Calibri" w:cs="Calibri"/>
        </w:rPr>
        <w:t xml:space="preserve"> to meet the </w:t>
      </w:r>
      <w:r w:rsidRPr="0802F626" w:rsidR="78AA52F9">
        <w:rPr>
          <w:rFonts w:ascii="Calibri" w:hAnsi="Calibri" w:cs="Calibri"/>
        </w:rPr>
        <w:t>minimum</w:t>
      </w:r>
      <w:r w:rsidRPr="0802F626" w:rsidR="78AA52F9">
        <w:rPr>
          <w:rFonts w:ascii="Calibri" w:hAnsi="Calibri" w:cs="Calibri"/>
        </w:rPr>
        <w:t xml:space="preserve"> standard through other measures. </w:t>
      </w:r>
      <w:r w:rsidRPr="0802F626" w:rsidR="4C45B3F8">
        <w:rPr>
          <w:rFonts w:ascii="Calibri" w:hAnsi="Calibri" w:cs="Calibri"/>
        </w:rPr>
        <w:t xml:space="preserve">The remaining provisions of this </w:t>
      </w:r>
      <w:r w:rsidRPr="0802F626" w:rsidR="4C45B3F8">
        <w:rPr>
          <w:rFonts w:ascii="Calibri" w:hAnsi="Calibri" w:cs="Calibri"/>
        </w:rPr>
        <w:t xml:space="preserve">Convention </w:t>
      </w:r>
      <w:r w:rsidRPr="0802F626" w:rsidR="4C45B3F8">
        <w:rPr>
          <w:rFonts w:ascii="Calibri" w:hAnsi="Calibri" w:cs="Calibri"/>
        </w:rPr>
        <w:t xml:space="preserve">relating to dispute resolution are </w:t>
      </w:r>
      <w:r w:rsidRPr="0802F626" w:rsidR="4C45B3F8">
        <w:rPr>
          <w:rFonts w:ascii="Calibri" w:hAnsi="Calibri" w:cs="Calibri"/>
        </w:rPr>
        <w:t>retained</w:t>
      </w:r>
      <w:r w:rsidRPr="0802F626" w:rsidR="4C45B3F8">
        <w:rPr>
          <w:rFonts w:ascii="Calibri" w:hAnsi="Calibri" w:cs="Calibri"/>
        </w:rPr>
        <w:t xml:space="preserve"> as they are considered consistent in content with the provisions of MLI Art. 16(</w:t>
      </w:r>
      <w:r w:rsidRPr="0802F626" w:rsidR="6145F326">
        <w:rPr>
          <w:rFonts w:ascii="Calibri" w:hAnsi="Calibri" w:cs="Calibri"/>
        </w:rPr>
        <w:t>1</w:t>
      </w:r>
      <w:r w:rsidRPr="0802F626" w:rsidR="4C45B3F8">
        <w:rPr>
          <w:rFonts w:ascii="Calibri" w:hAnsi="Calibri" w:cs="Calibri"/>
        </w:rPr>
        <w:t>)</w:t>
      </w:r>
      <w:r w:rsidRPr="0802F626" w:rsidR="6145F326">
        <w:rPr>
          <w:rFonts w:ascii="Calibri" w:hAnsi="Calibri" w:cs="Calibri"/>
        </w:rPr>
        <w:t>(</w:t>
      </w:r>
      <w:r w:rsidRPr="0802F626" w:rsidR="6145F326">
        <w:rPr>
          <w:rFonts w:ascii="Calibri" w:hAnsi="Calibri" w:cs="Calibri"/>
        </w:rPr>
        <w:t>second sentence), MLI 16(</w:t>
      </w:r>
      <w:r w:rsidRPr="0802F626" w:rsidR="6145F326">
        <w:rPr>
          <w:rFonts w:ascii="Calibri" w:hAnsi="Calibri" w:cs="Calibri"/>
        </w:rPr>
        <w:t>2)(</w:t>
      </w:r>
      <w:r w:rsidRPr="0802F626" w:rsidR="6145F326">
        <w:rPr>
          <w:rFonts w:ascii="Calibri" w:hAnsi="Calibri" w:cs="Calibri"/>
        </w:rPr>
        <w:t>first sentence)</w:t>
      </w:r>
      <w:r w:rsidRPr="0802F626" w:rsidR="4C45B3F8">
        <w:rPr>
          <w:rFonts w:ascii="Calibri" w:hAnsi="Calibri" w:cs="Calibri"/>
        </w:rPr>
        <w:t xml:space="preserve"> and MLI Art. 16(3)</w:t>
      </w:r>
      <w:r w:rsidRPr="0802F626" w:rsidR="33131514">
        <w:rPr>
          <w:rFonts w:ascii="Calibri" w:hAnsi="Calibri" w:cs="Calibri"/>
        </w:rPr>
        <w:t>,</w:t>
      </w:r>
      <w:r w:rsidRPr="0802F626" w:rsidR="4C45B3F8">
        <w:rPr>
          <w:rFonts w:ascii="Calibri" w:hAnsi="Calibri" w:cs="Calibri"/>
        </w:rPr>
        <w:t xml:space="preserve"> and meet the </w:t>
      </w:r>
      <w:r w:rsidRPr="0802F626" w:rsidR="4C45B3F8">
        <w:rPr>
          <w:rFonts w:ascii="Calibri" w:hAnsi="Calibri" w:cs="Calibri"/>
        </w:rPr>
        <w:t>minimum</w:t>
      </w:r>
      <w:r w:rsidRPr="0802F626" w:rsidR="4C45B3F8">
        <w:rPr>
          <w:rFonts w:ascii="Calibri" w:hAnsi="Calibri" w:cs="Calibri"/>
        </w:rPr>
        <w:t xml:space="preserve"> standard. </w:t>
      </w:r>
    </w:p>
    <w:p w:rsidR="00B90C8C" w:rsidP="0802F626" w:rsidRDefault="00B90C8C" w14:paraId="0228873F" w14:textId="22CB2A43">
      <w:pPr>
        <w:rPr>
          <w:rFonts w:ascii="Calibri" w:hAnsi="Calibri" w:cs="Calibri"/>
        </w:rPr>
      </w:pPr>
      <w:r w:rsidRPr="0802F626" w:rsidR="4C45B3F8">
        <w:rPr>
          <w:rFonts w:ascii="Calibri" w:hAnsi="Calibri" w:cs="Calibri"/>
        </w:rPr>
        <w:t xml:space="preserve">According to MLI Art. 35(4), the mutual agreement procedure provisions of MLI Art. 16 have effect for cases presented to the competent authority on or after </w:t>
      </w:r>
      <w:r w:rsidRPr="0802F626" w:rsidR="37F1D329">
        <w:rPr>
          <w:rFonts w:ascii="Calibri" w:hAnsi="Calibri" w:cs="Calibri"/>
        </w:rPr>
        <w:t>May</w:t>
      </w:r>
      <w:r w:rsidRPr="0802F626" w:rsidR="4C45B3F8">
        <w:rPr>
          <w:rFonts w:ascii="Calibri" w:hAnsi="Calibri" w:cs="Calibri"/>
        </w:rPr>
        <w:t xml:space="preserve"> 1, 2025, except for cases that were not eligible to be presented as of that date, without regard to the taxable period to which the case relates.</w:t>
      </w:r>
    </w:p>
    <w:p w:rsidRPr="00277482" w:rsidR="003105FF" w:rsidP="003105FF" w:rsidRDefault="003105FF" w14:paraId="44280095" w14:textId="4566571B">
      <w:pPr>
        <w:rPr>
          <w:rFonts w:ascii="Calibri" w:hAnsi="Calibri" w:cs="Calibri"/>
          <w:b/>
          <w:bCs/>
        </w:rPr>
      </w:pPr>
      <w:r w:rsidRPr="00277482">
        <w:rPr>
          <w:rFonts w:ascii="Calibri" w:hAnsi="Calibri" w:cs="Calibri"/>
          <w:b/>
          <w:bCs/>
        </w:rPr>
        <w:t>Corresponding Adjustments (MLI Article 17)</w:t>
      </w:r>
    </w:p>
    <w:p w:rsidRPr="00B64FF0" w:rsidR="003105FF" w:rsidP="003105FF" w:rsidRDefault="003105FF" w14:paraId="4DAB1A7C" w14:textId="409DF910">
      <w:pPr>
        <w:rPr>
          <w:rFonts w:ascii="Calibri" w:hAnsi="Calibri" w:cs="Calibri"/>
        </w:rPr>
      </w:pPr>
      <w:r w:rsidRPr="00A64BF8">
        <w:rPr>
          <w:rFonts w:ascii="Calibri" w:hAnsi="Calibri" w:cs="Calibri"/>
        </w:rPr>
        <w:t xml:space="preserve">According to MLI Art. 17(2), the provision of MLI Art. 17(1), providing that a Jurisdiction will make a corresponding adjustment where the other Jurisdiction makes an adjustment that reflects the arm's length profit, </w:t>
      </w:r>
      <w:r w:rsidRPr="00756FB6">
        <w:rPr>
          <w:rFonts w:ascii="Calibri" w:hAnsi="Calibri" w:cs="Calibri"/>
        </w:rPr>
        <w:t xml:space="preserve">applies and supersedes the provisions of this </w:t>
      </w:r>
      <w:r>
        <w:rPr>
          <w:rFonts w:ascii="Calibri" w:hAnsi="Calibri" w:cs="Calibri"/>
        </w:rPr>
        <w:t>Convention</w:t>
      </w:r>
      <w:r w:rsidRPr="00756FB6">
        <w:rPr>
          <w:rFonts w:ascii="Calibri" w:hAnsi="Calibri" w:cs="Calibri"/>
        </w:rPr>
        <w:t xml:space="preserve"> to the extent of incompatibility (i.e., MLI Art. 17(1) is added to this </w:t>
      </w:r>
      <w:r>
        <w:rPr>
          <w:rFonts w:ascii="Calibri" w:hAnsi="Calibri" w:cs="Calibri"/>
        </w:rPr>
        <w:t>Convention</w:t>
      </w:r>
      <w:r w:rsidRPr="00756FB6">
        <w:rPr>
          <w:rFonts w:ascii="Calibri" w:hAnsi="Calibri" w:cs="Calibri"/>
        </w:rPr>
        <w:t>). </w:t>
      </w:r>
    </w:p>
    <w:p w:rsidRPr="00153737" w:rsidR="00B7364C" w:rsidRDefault="00B7364C" w14:paraId="6DF85EBA" w14:textId="77777777">
      <w:pPr>
        <w:rPr>
          <w:rFonts w:ascii="Calibri" w:hAnsi="Calibri" w:cs="Calibri"/>
        </w:rPr>
      </w:pPr>
    </w:p>
    <w:sectPr w:rsidRPr="00153737" w:rsidR="00B7364C">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7946AE"/>
    <w:multiLevelType w:val="hybridMultilevel"/>
    <w:tmpl w:val="8F009C6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1803693719">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74F"/>
    <w:rsid w:val="0005498F"/>
    <w:rsid w:val="000D40F6"/>
    <w:rsid w:val="00153737"/>
    <w:rsid w:val="002A30A7"/>
    <w:rsid w:val="003105FF"/>
    <w:rsid w:val="003B3A65"/>
    <w:rsid w:val="003F13F3"/>
    <w:rsid w:val="00584F0C"/>
    <w:rsid w:val="005A4C27"/>
    <w:rsid w:val="0070582F"/>
    <w:rsid w:val="0083190C"/>
    <w:rsid w:val="00877600"/>
    <w:rsid w:val="00903AA6"/>
    <w:rsid w:val="00940DA9"/>
    <w:rsid w:val="009D4CA1"/>
    <w:rsid w:val="00A11F3C"/>
    <w:rsid w:val="00B43AE1"/>
    <w:rsid w:val="00B7364C"/>
    <w:rsid w:val="00B76DB1"/>
    <w:rsid w:val="00B90C8C"/>
    <w:rsid w:val="00B9D9E7"/>
    <w:rsid w:val="00BD096E"/>
    <w:rsid w:val="00BD60B4"/>
    <w:rsid w:val="00D36D62"/>
    <w:rsid w:val="00E549D3"/>
    <w:rsid w:val="00EB65FB"/>
    <w:rsid w:val="00ED705F"/>
    <w:rsid w:val="00F1274F"/>
    <w:rsid w:val="00FF45BF"/>
    <w:rsid w:val="00FF667C"/>
    <w:rsid w:val="0338756D"/>
    <w:rsid w:val="05FD9D55"/>
    <w:rsid w:val="0759FA65"/>
    <w:rsid w:val="07DDBACA"/>
    <w:rsid w:val="0802F626"/>
    <w:rsid w:val="0AA4C8F3"/>
    <w:rsid w:val="0BE334D9"/>
    <w:rsid w:val="0BF5F3C0"/>
    <w:rsid w:val="0CEE8163"/>
    <w:rsid w:val="0F5E9B1E"/>
    <w:rsid w:val="103501A2"/>
    <w:rsid w:val="129E8139"/>
    <w:rsid w:val="12A8C66C"/>
    <w:rsid w:val="137DF80D"/>
    <w:rsid w:val="162EE9DD"/>
    <w:rsid w:val="167CB7FC"/>
    <w:rsid w:val="169C19B6"/>
    <w:rsid w:val="18009FC7"/>
    <w:rsid w:val="1AC6A539"/>
    <w:rsid w:val="1B54083D"/>
    <w:rsid w:val="1B76721A"/>
    <w:rsid w:val="1BFE4693"/>
    <w:rsid w:val="2524F3B9"/>
    <w:rsid w:val="26F6C06D"/>
    <w:rsid w:val="2F30AF7F"/>
    <w:rsid w:val="304F7504"/>
    <w:rsid w:val="310D18CF"/>
    <w:rsid w:val="326C0F29"/>
    <w:rsid w:val="33131514"/>
    <w:rsid w:val="34F43B37"/>
    <w:rsid w:val="36F78B05"/>
    <w:rsid w:val="37F1D329"/>
    <w:rsid w:val="3905E05D"/>
    <w:rsid w:val="3B407897"/>
    <w:rsid w:val="3F0A400F"/>
    <w:rsid w:val="4065C920"/>
    <w:rsid w:val="415DEAFE"/>
    <w:rsid w:val="41DCD467"/>
    <w:rsid w:val="43627CC8"/>
    <w:rsid w:val="44BFE603"/>
    <w:rsid w:val="456986E1"/>
    <w:rsid w:val="48BC8836"/>
    <w:rsid w:val="4A44619D"/>
    <w:rsid w:val="4C45B3F8"/>
    <w:rsid w:val="4CB35DC5"/>
    <w:rsid w:val="4F19D676"/>
    <w:rsid w:val="4FA46CA1"/>
    <w:rsid w:val="55C1A293"/>
    <w:rsid w:val="59B03556"/>
    <w:rsid w:val="5AE5786E"/>
    <w:rsid w:val="6145F326"/>
    <w:rsid w:val="61B709FF"/>
    <w:rsid w:val="627FB2D0"/>
    <w:rsid w:val="688748D1"/>
    <w:rsid w:val="69E4C405"/>
    <w:rsid w:val="6C8B9E46"/>
    <w:rsid w:val="6FE3E1E4"/>
    <w:rsid w:val="70A5ABB2"/>
    <w:rsid w:val="7196AE80"/>
    <w:rsid w:val="728C2455"/>
    <w:rsid w:val="757072EA"/>
    <w:rsid w:val="75E351EA"/>
    <w:rsid w:val="77E2312E"/>
    <w:rsid w:val="78AA52F9"/>
    <w:rsid w:val="7A9A3497"/>
    <w:rsid w:val="7E095C55"/>
    <w:rsid w:val="7E86D73D"/>
    <w:rsid w:val="7E8A71C8"/>
    <w:rsid w:val="7EDC8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13877"/>
  <w15:chartTrackingRefBased/>
  <w15:docId w15:val="{8C20249C-86CC-4D6F-B70F-114D3D25F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F1274F"/>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1274F"/>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1274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1274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1274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1274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1274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1274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1274F"/>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F1274F"/>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F1274F"/>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F1274F"/>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F1274F"/>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F1274F"/>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F1274F"/>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F1274F"/>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F1274F"/>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F1274F"/>
    <w:rPr>
      <w:rFonts w:eastAsiaTheme="majorEastAsia" w:cstheme="majorBidi"/>
      <w:color w:val="272727" w:themeColor="text1" w:themeTint="D8"/>
    </w:rPr>
  </w:style>
  <w:style w:type="paragraph" w:styleId="Title">
    <w:name w:val="Title"/>
    <w:basedOn w:val="Normal"/>
    <w:next w:val="Normal"/>
    <w:link w:val="TitleChar"/>
    <w:uiPriority w:val="10"/>
    <w:qFormat/>
    <w:rsid w:val="00F1274F"/>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F1274F"/>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F1274F"/>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F1274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1274F"/>
    <w:pPr>
      <w:spacing w:before="160"/>
      <w:jc w:val="center"/>
    </w:pPr>
    <w:rPr>
      <w:i/>
      <w:iCs/>
      <w:color w:val="404040" w:themeColor="text1" w:themeTint="BF"/>
    </w:rPr>
  </w:style>
  <w:style w:type="character" w:styleId="QuoteChar" w:customStyle="1">
    <w:name w:val="Quote Char"/>
    <w:basedOn w:val="DefaultParagraphFont"/>
    <w:link w:val="Quote"/>
    <w:uiPriority w:val="29"/>
    <w:rsid w:val="00F1274F"/>
    <w:rPr>
      <w:i/>
      <w:iCs/>
      <w:color w:val="404040" w:themeColor="text1" w:themeTint="BF"/>
    </w:rPr>
  </w:style>
  <w:style w:type="paragraph" w:styleId="ListParagraph">
    <w:name w:val="List Paragraph"/>
    <w:basedOn w:val="Normal"/>
    <w:uiPriority w:val="34"/>
    <w:qFormat/>
    <w:rsid w:val="00F1274F"/>
    <w:pPr>
      <w:ind w:left="720"/>
      <w:contextualSpacing/>
    </w:pPr>
  </w:style>
  <w:style w:type="character" w:styleId="IntenseEmphasis">
    <w:name w:val="Intense Emphasis"/>
    <w:basedOn w:val="DefaultParagraphFont"/>
    <w:uiPriority w:val="21"/>
    <w:qFormat/>
    <w:rsid w:val="00F1274F"/>
    <w:rPr>
      <w:i/>
      <w:iCs/>
      <w:color w:val="0F4761" w:themeColor="accent1" w:themeShade="BF"/>
    </w:rPr>
  </w:style>
  <w:style w:type="paragraph" w:styleId="IntenseQuote">
    <w:name w:val="Intense Quote"/>
    <w:basedOn w:val="Normal"/>
    <w:next w:val="Normal"/>
    <w:link w:val="IntenseQuoteChar"/>
    <w:uiPriority w:val="30"/>
    <w:qFormat/>
    <w:rsid w:val="00F1274F"/>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F1274F"/>
    <w:rPr>
      <w:i/>
      <w:iCs/>
      <w:color w:val="0F4761" w:themeColor="accent1" w:themeShade="BF"/>
    </w:rPr>
  </w:style>
  <w:style w:type="character" w:styleId="IntenseReference">
    <w:name w:val="Intense Reference"/>
    <w:basedOn w:val="DefaultParagraphFont"/>
    <w:uiPriority w:val="32"/>
    <w:qFormat/>
    <w:rsid w:val="00F1274F"/>
    <w:rPr>
      <w:b/>
      <w:bCs/>
      <w:smallCaps/>
      <w:color w:val="0F4761" w:themeColor="accent1" w:themeShade="BF"/>
      <w:spacing w:val="5"/>
    </w:rPr>
  </w:style>
  <w:style w:type="character" w:styleId="Hyperlink">
    <w:name w:val="Hyperlink"/>
    <w:basedOn w:val="DefaultParagraphFont"/>
    <w:uiPriority w:val="99"/>
    <w:unhideWhenUsed/>
    <w:rsid w:val="00F1274F"/>
    <w:rPr>
      <w:color w:val="467886" w:themeColor="hyperlink"/>
      <w:u w:val="single"/>
    </w:rPr>
  </w:style>
  <w:style w:type="character" w:styleId="normaltextrun" w:customStyle="1">
    <w:name w:val="normaltextrun"/>
    <w:basedOn w:val="DefaultParagraphFont"/>
    <w:rsid w:val="00153737"/>
  </w:style>
  <w:style w:type="character" w:styleId="eop" w:customStyle="1">
    <w:name w:val="eop"/>
    <w:basedOn w:val="DefaultParagraphFont"/>
    <w:rsid w:val="001537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ntTable" Target="fontTable.xml" Id="rId6" /><Relationship Type="http://schemas.openxmlformats.org/officeDocument/2006/relationships/hyperlink" Target="https://www.bloomberglaw.com/product/tax/page/MLI_watch" TargetMode="External" Id="rId5" /><Relationship Type="http://schemas.openxmlformats.org/officeDocument/2006/relationships/customXml" Target="../customXml/item3.xml" Id="rId10" /><Relationship Type="http://schemas.openxmlformats.org/officeDocument/2006/relationships/webSettings" Target="webSettings.xml" Id="rId4" /><Relationship Type="http://schemas.openxmlformats.org/officeDocument/2006/relationships/customXml" Target="../customXml/item2.xml" Id="rId9" /><Relationship Type="http://schemas.microsoft.com/office/2011/relationships/people" Target="people.xml" Id="Rd1b363cde83f443a" /><Relationship Type="http://schemas.microsoft.com/office/2011/relationships/commentsExtended" Target="commentsExtended.xml" Id="Re419a4152b264da8" /><Relationship Type="http://schemas.microsoft.com/office/2016/09/relationships/commentsIds" Target="commentsIds.xml" Id="R337eac272d4b4d8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0350ABC-61E2-483A-9001-F255195EFB1C}"/>
</file>

<file path=customXml/itemProps2.xml><?xml version="1.0" encoding="utf-8"?>
<ds:datastoreItem xmlns:ds="http://schemas.openxmlformats.org/officeDocument/2006/customXml" ds:itemID="{A74175AF-3C00-4D41-8BE6-269CB5606716}"/>
</file>

<file path=customXml/itemProps3.xml><?xml version="1.0" encoding="utf-8"?>
<ds:datastoreItem xmlns:ds="http://schemas.openxmlformats.org/officeDocument/2006/customXml" ds:itemID="{79A14882-24F8-4136-A28F-F38AE13D2400}"/>
</file>

<file path=docMetadata/LabelInfo.xml><?xml version="1.0" encoding="utf-8"?>
<clbl:labelList xmlns:clbl="http://schemas.microsoft.com/office/2020/mipLabelMetadata">
  <clbl:label id="{f786616f-5bb4-45d1-b9c4-7a19bded0f1d}" enabled="1" method="Standard" siteId="{97be21fd-c601-4b16-9920-f5accc69da65}"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Bloomberg Industry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Parello, Christina</dc:creator>
  <keywords/>
  <dc:description/>
  <lastModifiedBy>Parello, Christina</lastModifiedBy>
  <revision>14</revision>
  <dcterms:created xsi:type="dcterms:W3CDTF">2025-03-10T15:23:00.0000000Z</dcterms:created>
  <dcterms:modified xsi:type="dcterms:W3CDTF">2025-03-31T15:29:13.1559792Z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0x01010074045C6645180C49B5F3BF356B510BE9</vt:lpwstr>
  </property>
  <property fmtid="{D5CDD505-2E9C-101B-9397-08002B2CF9AE}" pid="3" name="MediaServiceImageTags">
    <vt:lpwstr/>
  </property>
</Properties>
</file>